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JS19.004188 vom 24. April 2020</w:t>
      </w:r>
    </w:p>
    <w:p>
      <w:r>
        <w:t>VD Tribunal cantonal, 2020-04-24, FR</w:t>
      </w:r>
    </w:p>
    <w:p>
      <w:r>
        <w:rPr>
          <w:b/>
        </w:rPr>
        <w:t xml:space="preserve">Quelle: </w:t>
      </w:r>
      <w:r>
        <w:t>https://mcp.opencaselaw.ch/entscheid/vd_gerichte_JS19.004188</w:t>
      </w:r>
    </w:p>
    <w:p>
      <w:r>
        <w:t>FR: VD_GERICHTE JS19.004188 du 24 avril 2020</w:t>
      </w:r>
    </w:p>
    <w:p>
      <w:r>
        <w:t>IT: VD_GERICHTE JS19.004188 del 24 aprile 2020</w:t>
      </w:r>
    </w:p>
    <w:p>
      <w:pPr>
        <w:pStyle w:val="Heading2"/>
      </w:pPr>
      <w:r>
        <w:t>Erwägungen</w:t>
      </w:r>
    </w:p>
    <w:p>
      <w:r>
        <w:rPr>
          <w:b/>
        </w:rPr>
        <w:t>E. 3.1</w:t>
      </w:r>
    </w:p>
    <w:p>
      <w:r>
        <w:t>Le recourant fait valoir une violation du droit d’être entendu. D’une part, le premier juge ne l’aurait pas interpellé pour se déterminer sur la requête de changement de conseil d’office du bénéficiaire de l’assistance judiciaire et n’aurait pas, d’autre part, suffisamment motivé la décision querellée. Enfin, au pied de cette décision, aucune voie de droit ne serait mentionnée.</w:t>
      </w:r>
    </w:p>
    <w:p>
      <w:r>
        <w:rPr>
          <w:b/>
        </w:rPr>
        <w:t>E. 3.2</w:t>
      </w:r>
    </w:p>
    <w:p>
      <w:r>
        <w:t>En outre, le recourant soutient que cette décision serait arbitraire tant dans ses motifs que dans son résultat. Le premier juge l’aurait relevé à tort de son mandat d’office sans fait ni motif pertinents, ne s’étant fondé que sur la requête du bénéficiaire de l’assistance judiciaire par laquelle il a exprimé son mécontentement. La révocation de sa mission d’office serait ainsi arbitraire.</w:t>
      </w:r>
    </w:p>
    <w:p>
      <w:r>
        <w:rPr>
          <w:b/>
        </w:rPr>
        <w:t>E. 3.3</w:t>
      </w:r>
    </w:p>
    <w:p>
      <w:r>
        <w:t>Enfin, le recourant invoque que la prétendue rupture du lien de confiance soulevée par le bénéficiaire de l’assistance judiciaire ne serait pas pertinente pour justifier son remplacement. Se référant à Bohnet (Droit de la profession d’avocat, Berne 2009, n° 1736), à l’ATF 116 Ia 102, rendu en matière pénale, et au Message relatif à l’unification du droit de la procédure pénale du 21 décembre 2005 (FF 2006 p. 1159), il estime que la rupture du lien de confiance ne serait pas un motif suffisant pour obtenir un changement de conseil d’office. Le recourant soutient que le bénéficiaire de l’assistance judiciaire lui reprocherait d’avoir signé une convention judiciaire prétendument désavantageuse dans une seconde procédure en lien avec la dissolution et liquidation de la société simple qu’il formait avec son épouse, ce qui ne constituerait pas, selon lui, un motif sérieux et objectif démontrant l’absence d’une défense appropriée. En effet, il ne s’agirait que d’un motif subjectif duquel il ne résulterait pas de manière patente que son attitude, en qualité de conseil d’office, serait gravement préjudiciable aux intérêts du client. A l’appui, le recourant</w:t>
      </w:r>
    </w:p>
    <w:p>
      <w:r>
        <w:t>- 6 - relève que le bénéficiaire de l’assistance judiciaire aurait confiance en lui, dans la mesure où il lui aurait confié deux autres mandats.</w:t>
      </w:r>
    </w:p>
    <w:p>
      <w:r>
        <w:rPr>
          <w:b/>
        </w:rPr>
        <w:t>E. 4.1.1</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(ATF 142 III 48 consid. 3.2).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139 I 189 consid. 3.2 ; TF 5A_504/2018 du 25 juin 2018 consid. 3.1).</w:t>
      </w:r>
    </w:p>
    <w:p>
      <w:r>
        <w:rPr>
          <w:b/>
        </w:rPr>
        <w:t>E. 4.1.2</w:t>
      </w:r>
    </w:p>
    <w:p>
      <w:r>
        <w:t>La jurisprudence a en outre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w:t>
      </w:r>
    </w:p>
    <w:p>
      <w:r>
        <w:t>- 7 - paraissent pertinents (ATF 142 II 154 consid. 4.2 ; ATF 136 I 229 consid. 5.2 ; ATF 133 I 270 consid. 3.1). L’autorité se rend cependant coupable d’un déni de justice formel si elle omet de se prononcer sur des griefs qui présentent une certaine pertinence ou de prendre en considération des allégués et arguments importants pour la décision à prendre (ATF 141 V 557 consid. 3.2.1 ; TF 5A_359/2016 du 7 septembre 2016 consid. 4.1 ; TF 5A_306/2016 du 7 juillet 2016 consid. 3.2).</w:t>
      </w:r>
    </w:p>
    <w:p>
      <w:r>
        <w:rPr>
          <w:b/>
        </w:rPr>
        <w:t>E. 4.2</w:t>
      </w:r>
    </w:p>
    <w:p>
      <w:r>
        <w:t>L’art. 119 al. 2 2e phrase CPC prévoit que le requérant de l’assistance judiciaire peut indiquer dans sa requête le nom du conseil juridique « qu’il souhaite ». Par cette formulation, le législateur n’a pas voulu consacrer de droit au libre choix du conseil d’office (Tappy, CR-CPC, n. 9 ad art. 119 CPC). Selon les termes de l’art. 1 RAJ, les avocats d'office sont désignés par le tribunal compétent selon l'article 39, alinéas 1 et 2 CDPJ (al. 1). Lorsque la personne qui sollicite l'assistance judiciaire choisit un avocat, celui-ci est en principe désigné. Dans le cas contraire, le Tribunal cantonal veille à ce que les avocats soient désignés à tour de rôle (al. 2). L'avocat ayant plus de vingt-cinq ans de pratique est, sur demande adressée au président du Tribunal cantonal, dispensé des causes d'office (al. 3). En outre, selon l’arrêt rendu par la Chambre de céans le 6 mars 2019 (CREC 6 mars 2019/79 consid. 3.2), l’assistance judiciaire n’autorise pas son bénéficiaire à choisir son conseil, ni même à en changer selon sa seule volonté. Toutefois, il est d’usage, en particulier lorsqu’est invoquée une rupture du lien de confiance, d’admettre sans trop de rigueur le changement requis, notamment en droit de la famille (Colombini, op. cit., n. 3.2 ad art. 119 CPC et la jurisprudence citée).</w:t>
      </w:r>
    </w:p>
    <w:p>
      <w:r>
        <w:rPr>
          <w:b/>
        </w:rPr>
        <w:t>E. 5</w:t>
      </w:r>
    </w:p>
    <w:p>
      <w:r>
        <w:t>En l’espèce, le bénéficiaire de l’assistance judiciaire a indiqué au premier juge qu’il souhaitait la désignation de Me Laurent Gilliard, en remplacement de Me F.________. Il a expliqué avoir perdu confiance en celui-ci à la suite d’une transaction que Me F.________ l’avait incité à signer avec son épouse, à tort « à ses yeux », de sorte qu’il n’imaginait pas qu’il puisse être son conseil d’office dans la procédure de mesures protectrices de l’union conjugale les opposant.</w:t>
      </w:r>
    </w:p>
    <w:p>
      <w:r>
        <w:t>- 8 - Dès lors, en relevant Me F.________ de son mandat d’office et en désignant Me Laurent Gilliard pour le remplacer, le premier juge a agi conformément à la jurisprudence de la Chambre de céans (cf. supra consid. 4.2). Par ailleurs, on ne décèle pas de violation du droit d’être entendu, Me F.________ ayant pu agir en parfaite connaissance de cause, tant s’agissant du motif invoqué par le bénéficiaire de l’assistance judiciaire que du respect de la voie de droit pour recourir. Aussi, il n’y a eu ni arbitraire, ni violation du droit d’être entendu par le premier juge. Pour ce qui concerne le renvoi à de prétendus « autres mandats », ces faits nouveaux, non établis, sont irrecevables (art. 326 CPC).</w:t>
      </w:r>
    </w:p>
    <w:p>
      <w:r>
        <w:rPr>
          <w:b/>
        </w:rPr>
        <w:t>E. 6</w:t>
      </w:r>
    </w:p>
    <w:p>
      <w:r>
        <w:t>Au vu de ce qui précède, le recours, manifestement infondé, doit être rejeté et la décision querellée doit être confirmée. Les frais judiciaires de deuxième instance, arrêtés à 100 fr. (art. 69 al. 3 TFJC [tarif des frais judiciaires civils du 28 septembre 2010 ; BLV 270.11.5], sont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F.________.</w:t>
      </w:r>
    </w:p>
    <w:p>
      <w:r>
        <w:t>- 9 - IV. L’arrêt est exécutoire. Le président : La greffière : Du L'arrêt qui précède est notifié en expédition complète, par l'envoi de photocopies, à : - Me F.________, av., et - Me Laurent Gilliard,av.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