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JS19.001772 vom 8. April 2019</w:t>
      </w:r>
    </w:p>
    <w:p>
      <w:r>
        <w:t>VD Tribunal cantonal, 2019-04-08, FR</w:t>
      </w:r>
    </w:p>
    <w:p>
      <w:r>
        <w:rPr>
          <w:b/>
        </w:rPr>
        <w:t xml:space="preserve">Quelle: </w:t>
      </w:r>
      <w:r>
        <w:t>https://mcp.opencaselaw.ch/entscheid/vd_gerichte_JS19.001772</w:t>
      </w:r>
    </w:p>
    <w:p>
      <w:r>
        <w:t>FR: VD_GERICHTE JS19.001772 du 8 avril 2019</w:t>
      </w:r>
    </w:p>
    <w:p>
      <w:r>
        <w:t>IT: VD_GERICHTE JS19.001772 del 8 aprile 2019</w:t>
      </w:r>
    </w:p>
    <w:p>
      <w:pPr>
        <w:pStyle w:val="Heading2"/>
      </w:pPr>
      <w:r>
        <w:t>Erwägungen</w:t>
      </w:r>
    </w:p>
    <w:p>
      <w:r>
        <w:rPr>
          <w:b/>
        </w:rPr>
        <w:t>E. 3.1</w:t>
      </w:r>
    </w:p>
    <w:p>
      <w:r>
        <w:t>L'appelante soutient ne pas avoir été en mesure de se déterminer lors de l’audience du 8 février 2018, étant seule et perdue. Elle n’aurait pas compris les conséquences qui découleraient de l'accord passé et aurait cédé au chantage de son mari, revenu s’installer en Suisse pour des raisons médicales. L’appelante ajoute qu’elle émargerait au Revenu d’insertion, alors que l'intimé bénéficierait d'une rente AI et LPP.</w:t>
      </w:r>
    </w:p>
    <w:p>
      <w:r>
        <w:rPr>
          <w:b/>
        </w:rPr>
        <w:t>E. 3.2</w:t>
      </w:r>
    </w:p>
    <w:p>
      <w:r>
        <w:t>Conformément à l'art. 279 al. 1 CPC, le tribunal ratifie la convention sur les effets du divorce après s'être assuré que les époux l'ont conclue après mûre réflexion et de leur plein gré, qu'elle est claire et complète, et qu'elle n'est pas manifestement inéquitable. La ratification est ainsi subordonnée à cinq conditions : la mûre réflexion des époux, leur libre volonté, le caractère clair de la convention, son caractère complet et l'absence d'une iniquité manifeste (TF 5A_74/2014 du 5 août 2014 consid. 2 ; TF 5A_187/2013 du 4 octobre 2013 consid. 5). S'agissant du premier critère, le juge doit avant tout contrôler que les parties aient compris les dispositions de leur convention et les conséquences qu'elles impliquent et veiller notamment à ce que la convention n'ait pas été conclue dans la précipitation ou acceptée par lassitude. La mûre réflexion ne concerne pas la manière, mais le résultat du processus de formation de la volonté. Une certaine pression du temps ne permet pas de conclure en soi à un résultat insuffisamment réfléchi du processus de formation de la volonté. La convention n'est pas sujette à discussion du seul fait qu'il est passé sans transition des discussions transactionnelles à la signature de la convention, le juge n'étant pas tenu</w:t>
      </w:r>
    </w:p>
    <w:p>
      <w:r>
        <w:t>- 6 - de fixer d'office un délai de réflexion ou de faire signer la convention sous réserve d'un droit de révocation (TF 5A_96/2018 du 13 août 2018 consid. 2.2.6, FamPra.ch 2018 p. 1025). En ce qui concerne le plein gré des parties, le juge doit s'assurer que celles-ci ont formé leur volonté et l'ont communiquée librement ; cela présuppose qu'elles n'ont conclu leur convention ni sous l'emprise d'une erreur (art. 23 ss CO), ni sous celle du dol (art. 28 CO) ou de la menace (art. 29 s. CO) (TF 5A 683/2014 du 18 mars 2015 consid. 6.1 et les réf. citées). Cette dernière condition n'oblige toutefois pas le juge à rechercher des vices du consentement cachés, la maxime des débats étant applicable ; la partie victime d'un vice du consentement supporte ainsi le fardeau de l'allégation et le fardeau de la preuve de ce vice (art. 8 CC ; TF 5A_74/2014 du 5 août 2014 consid. 4.1 et les réf. citées). L'erreur qui constitue un obstacle à la ratification est l'erreur essentielle au sens de l'art. 23 CO. Est dans l'erreur celui qui a une fausse représentation d'un fait. L'absence de représentation d'un fait, à savoir l'ignorance de celui-ci, y est assimilée. Toutefois, seule l'ignorance inconsciente équivaut à une erreur. En effet, celui qui sait qu'il ne sait pas ne se trompe pas; sa méconnaissance consciente ne peut pas être considérée comme une erreur. De même, celui qui doute de l'exactitude de sa représentation n'a ni une fausse représentation, ni une absence de représentation et, partant, il ne peut être dans l'erreur (CACI 14 janvier 2015/25 ; CACI 1er octobre 2018/548). Dans le domaine des transactions judiciaires et extrajudiciaires, dont font partie les conventions sur les effets accessoires du divorce, les art. 23 ss CO s'appliquent avec des restrictions. La transaction a pour but de mettre définitivement fin au litige et aux incertitudes existantes moyennant des concessions réciproques. Elle est précisément conclue pour éviter un examen complet des faits et de leur portée juridique. Ainsi, l'erreur sur un point douteux qui a été réglé par la transaction et qui l'a été de manière définitive selon la volonté des parties (erreur sur le caput controversum), ne peut être prise en considération. En raison de la nature de la transaction, une contestation ultérieure pour cause d'erreur sur les points contestés et incertains au moment de la conclusion est exclue lorsque ceux-ci sont avérés plus tard,</w:t>
      </w:r>
    </w:p>
    <w:p>
      <w:r>
        <w:t>- 7 - car sans cela on remettrait en cause précisément les questions qui avaient déterminé les intéressés à transiger (ATF 54 II 188 consid. 2 ; TF 5A_187/2013 du 4 octobre 2013 consid. 7.1, FamPra.ch 2014 p. 409 ; Colombini, op. cit., n. 3.1.3 ad art. 279 CPC). Les mesures protectrices étant par définition provisoires et susceptibles d'être revues en cas de modification de la situation des parties, le juge peut se montrer moins exigeant dans l'examen des conditions de l'art. 279 CPC lorsqu'il ratifie une convention de mesures protectrices (Colombini, op. cit., n. 3.1.2 ad art. 279 CPC et les réf. citées).</w:t>
      </w:r>
    </w:p>
    <w:p>
      <w:r>
        <w:rPr>
          <w:b/>
        </w:rPr>
        <w:t>E. 3.3</w:t>
      </w:r>
    </w:p>
    <w:p>
      <w:r>
        <w:t>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 grösserer Nutzen »).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 ; l'intérêt professionnel d'un époux, qui, par exemple, exerce sa profession dans l'immeuble, ou encore l'intérêt d'un époux à pouvoir rester dans l'immeuble qui a été aménagé spécialement en fonction de son état de santé. Il est conforme au droit fédéral de s'en tenir à l'examen exclusif de l'utilité si ce critère aboutit à un résultat exempt d'équivoque (TF 5A_ 823/2014 du 3 février 2015 consid. 4.4).</w:t>
      </w:r>
    </w:p>
    <w:p>
      <w:r>
        <w:t>- 8 -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Si ce second critère ne donne pas non plus de résultat clair, le juge doit alors tenir compte du statut juridique de l'immeuble et l'attribuer à celui des époux qui en est le propriétaire ou qui bénéficie d'autres droits d'usage sur celui-ci (TF 5A_829/2016 du 15 février 2017 consid. 3.1, cf. Axelle Prior, Les critères d'attribution du logement conjugal, Newsletter DroitMatrimonial.ch, avril 2017 ; TF_5A 470/2016 du 13 décembre 2016 consid. 5.1 ; TF_5A 747/2015 du 9 décembre 2015 consid. 6.1 ; TF_5A 823/2014 du 3 février 2015 consid. 4.1 et réf., FamPra.ch. 2015 p. 403 ; TF_5A 951/2013 du 27 mars 2014 consid. 4.1 ; TF 5A_930/2012 du 16 mai 2013 consid. 3.3.2 ; TF 5A_416/2012 du 13 septembre 2012 consid. 5.1, in SJ 2013 I 159 ; TF 5A_766/2008 du 4 février 2009 consid. 3, publié in JdT 2010 I 341 ; ATF 120 II 1 consid. 2c).</w:t>
      </w:r>
    </w:p>
    <w:p>
      <w:r>
        <w:rPr>
          <w:b/>
        </w:rPr>
        <w:t>E. 3.4</w:t>
      </w:r>
    </w:p>
    <w:p>
      <w:r>
        <w:t>En l’espèce, l’accord que l’appelante entend invalider a été passé à l'audience du 8 février 2019 sous l'égide de la Présidente. Rien ne permet de retenir que celle-ci ne se soit pas assurée que les parties aient compris les dispositions de leur convention et les conséquences qu'elles impliquaient. L'accord concernait l'attribution du logement conjugal et prévoyait clairement que la jouissance serait attribuée à l'époux, à charge pour lui d'en payer le loyer, un délai au 30 juin 2019 étant imparti à</w:t>
      </w:r>
    </w:p>
    <w:p>
      <w:r>
        <w:t>- 9 - l'appelante pour quitter le domicile conjugal. Le point ainsi réglé était simple à comprendre et ses conséquences, soit le départ de l'appelante dans le délai au 30 juin 2019, étaient expressément réglées, de sorte que cette partie, même non assistée, pouvait en comprendre sans difficultés les tenants et aboutissants. On ne peut inférer de la seule durée de l'audience, qui a duré 37 minutes, que l'accord n'aurait pas été conclu après mûre réflexion, cet accord étant simple et l'appelante n'ayant pas requis de délai de réflexion supplémentaire, ni même exprimé être sous la pression du temps avant de signer la convention. Elle n'a pas plus fait valoir qu'elle souhaitait cas échéant l'assistance d'un conseil. Rien ne permet de retenir que l'accord n'aurait pas été passé du plein gré de l'appelante. Celle-ci ne rend pas vraisemblable une incapacité de discernement et rien n'indique par ailleurs que la convention, passée sous l'égide de la Présidente, aurait été le résultat de pressions du mari. Comme déjà relevé, le point ainsi réglé était simple à comprendre et ses conséquences, soit le départ de l'appelante dans le délai au 30 juin 2019 étaient expressément réglées, de sorte que l'appelante, même non assistée pouvait en comprendre sans difficultés les tenants et aboutissants. L'appelante ne rend au demeurant pas vraisemblable une erreur essentielle. La question de l'attribution du logement conjugal et du délai pour quitter le logement conjugal était d'ailleurs le caput controversum, de sorte qu'une erreur sur ce point ne pourrait être prise en considération. L'appelante a accepté de quitter le logement conjugal, mais a obtenu un délai relativement long au 30 juin 2019 pour déménager, évitant ainsi le risque que le logement soit attribué au mari, avec un délai plus court, étant relevé qu'elle admet elle-même que ce dernier était revenu en Suisse pour des raisons médicales, de telles circonstances pouvant être pertinentes pour l'attribution du logement conjugal. Pour le surplus, la convention apparaît claire et complète et l'on ne saurait retenir une iniquité manifeste du fait que l'appelante émargerait au Revenu d’insertion, alors que l'intimé bénéficierait d'une rente AI et LPP selon les allégations non établies de l'appelante, les</w:t>
      </w:r>
    </w:p>
    <w:p>
      <w:r>
        <w:t>- 10 - circonstances financières n'étant qu'un élément subsidiaire pour l'attribution du logement conjugal. En définitive, les conditions de la ratification de la convention passée par les parties étaient remplies et c’est donc à juste titre que le premier juge a ratifié celle-ci pour valoir ordonnance de mesures protectrices de l’union conjugale.</w:t>
      </w:r>
    </w:p>
    <w:p>
      <w:r>
        <w:rPr>
          <w:b/>
        </w:rPr>
        <w:t>E. 4</w:t>
      </w:r>
    </w:p>
    <w:p>
      <w:r>
        <w:t>II s’ensuit que l’appel doit être rejeté selon le mode procédural de l’art. 312 al. 1 CPC. Les frais judiciaires de deuxième instance, arrêtés à 600 fr. (art. 65 al. 2 TFJC [tarif des frais judiciaires civils du 28 septembre 2010 ; BLV 270.11.5]), seront mis à la charge de l’appelante, qui succombe (art. 106 al. 1 CPC). Il n’y a pas lieu d’allouer de dépens à l’intimé, qui n’a pas été invité à se déterminer. Par ces motifs, le Juge délégué de la Cour d’appel civile prononce : I. L’appel est rejeté. II. L’ordonnance est confirmée. III. Les frais judiciaires de deuxième instance, arrêtés à 600 fr. (six cents francs) sont mis à la charge de l'appelante O.P.________ IV. L’arrêt est exécutoire.</w:t>
      </w:r>
    </w:p>
    <w:p>
      <w:r>
        <w:t>- 11 - Le juge délégué : Le greffier : Du Le présent arrêt, dont la rédaction a été approuvée à huis clos, est notifié en expédition complète à : - O.P.________, - I.P.________, et communiqué, par l'envoi de photocopies, à : - Madame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