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JS18.050797 vom 5. Juni 2019</w:t>
      </w:r>
    </w:p>
    <w:p>
      <w:r>
        <w:t>VD Tribunal cantonal, 2019-06-05, FR</w:t>
      </w:r>
    </w:p>
    <w:p>
      <w:r>
        <w:rPr>
          <w:b/>
        </w:rPr>
        <w:t xml:space="preserve">Quelle: </w:t>
      </w:r>
      <w:r>
        <w:t>https://mcp.opencaselaw.ch/entscheid/vd_gerichte_JS18.050797</w:t>
      </w:r>
    </w:p>
    <w:p>
      <w:r>
        <w:t>FR: VD_GERICHTE JS18.050797 du 5 juin 2019</w:t>
      </w:r>
    </w:p>
    <w:p>
      <w:r>
        <w:t>IT: VD_GERICHTE JS18.050797 del 5 giugno 2019</w:t>
      </w:r>
    </w:p>
    <w:p>
      <w:pPr>
        <w:pStyle w:val="Heading2"/>
      </w:pPr>
      <w:r>
        <w:t>Erwägungen</w:t>
      </w:r>
    </w:p>
    <w:p>
      <w:r>
        <w:rPr>
          <w:b/>
        </w:rPr>
        <w:t>E. 3</w:t>
      </w:r>
    </w:p>
    <w:p>
      <w:r>
        <w:t>Seule demeure litigieuse à ce stade la question de la contribution d’entretien en faveur de l’enfant Z.________, l’épouse ne réclamant aucune pension pour elle-même.</w:t>
      </w:r>
    </w:p>
    <w:p>
      <w:r>
        <w:rPr>
          <w:b/>
        </w:rPr>
        <w:t>E. 3.1</w:t>
      </w:r>
    </w:p>
    <w:p>
      <w:r>
        <w:t>L’appelante, qui ne revient ni sur sa situation financière, ni sur les charges de l’intimé, telles que retenues par le premier juge, conteste le montant de 3'115 fr. 30 imputé à son époux à titre de revenu hypothétique par le premier juge. Elle reproche au magistrat d’avoir retenu comme salaire hypothétique de l’intimé celui allégué à 70%, reporté à 100%. Elle invoque tout d’abord « la disproportion évidente entre les revenus "déclarés" de l’intimé, soit 2'180 fr. 70 à 70%, et ses charges de logement, par 1'600 fr. par mois ». Par ailleurs, se fondant sur l’enquête suisse sur la structure des salaires, l’appelante fait valoir que ce montant serait « inférieur de 1'600 fr. à 1'000 fr. par mois à celui que pourrait obtenir l’intimé en mettant réellement à profit sa capacité de travail dans le domaine de la restauration, ou plus simplement, si son employeur et père le rémunérait à hauteur du salaire que réclamerait n’importe quel autre employé ». Sur la base d’un revenu hypothétique de 4'860 fr. (que l’appelante qualifie de « fourchette haute »), le disponible serait de 1'372 fr. 60 (4'860 fr. [revenu hypothétique] – 3'487 fr. 40 [charges]).</w:t>
      </w:r>
    </w:p>
    <w:p>
      <w:r>
        <w:rPr>
          <w:b/>
        </w:rPr>
        <w:t>E. 3.2</w:t>
      </w:r>
    </w:p>
    <w:p>
      <w:r>
        <w:t>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w:t>
      </w:r>
    </w:p>
    <w:p>
      <w:r>
        <w:t>- 14 -</w:t>
      </w:r>
    </w:p>
    <w:p>
      <w:r>
        <w:rPr>
          <w:b/>
        </w:rPr>
        <w:t>E. 3.3</w:t>
      </w:r>
    </w:p>
    <w:p>
      <w:r>
        <w:t>En l’espèce, il n’est pas contesté que B.O.________, qui est employé à 70% dans le café tea-room [...] détenu par son père au [...], serait en mesure de travailler à 100%, compte tenu de son âge, du fait qu’il n’a aucun enfant mineur à charge et qu’il dispose d’une pleine et entière capacité de travail. Est en revanche contesté le montant du revenu hypothétique, que le premier juge a retenu sur la base des fiches de salaire de février à novembre 2018 produites par l’intimé, lesquelles font état d’un revenu mensuel brut de 2'500 fr., soit net de 2'180 fr. 70 pour une activité à 70%.</w:t>
      </w:r>
    </w:p>
    <w:p>
      <w:r>
        <w:t>- 16 - Les fiches de salaire des mois d’août et septembre 2018 remises par l’intimé lui-même à la Régie [...] à l’appui de sa demande de location du 30 octobre 2018 et produites en appel par cette dernière mentionnent toutefois un revenu mensuel plus élevé, soit un montant brut de 4'680 fr. et net de 4'061 fr. 10. Or, il n’y a pas de raison de s’écarter de ce montant, puisqu’il n’existe aucun élément permettant de rendre vraisemblable que ces décomptes ne seraient pas le reflet de la réalité, ce que l’intéressé n’a d’ailleurs pas allégué et encore moins démontré. Il apparaît en revanche que les fiches de salaire produites à l’audience de première instance par B.O.________ à l’appui de ses conclusions reconventionnelles ont été établies par ce dernier (respectivement par son employeur) pour les besoins de la cause et ne sont, dès lors, pas fiables, de sorte qu’il n’y a pas lieu d’en tenir compte. Il est d’ailleurs invraisemblable – voire improbable – que l’intimé puisse s’acquitter d’un loyer de 1'600 fr. par mois avec un revenu mensuel de 2'180 fr. 70, vu la totale disproportion entre ces deux montants et les exigences – notoirement connues – des gérances en matière de revenus des locataires. L’intimé fait valoir à cet égard, dans sa réponse à l’appel, que ses parents l’aideraient à payer son loyer. A supposer que cet allégué soit démontré – ce qui n’est pas le cas, même au degré requis de la vraisemblance –, il conviendrait de toute manière d’ajouter au salaire allégué par l’intimé le montant versé par ses parents à titre d’aide au loyer, respectivement de diminuer d’autant sa charge locative. Quant à l’argument de l’intimé selon lequel le revenu allégué en première instance, de 2'180 fr. 70 à 70%, correspondrait à celui réalisé habituellement par un serveur dans un tea-room, outre qu’il ne s’appuie sur aucune pièce, il se heurte à la note manuscrite figurant sur le formulaire « demande de location – inscription » selon laquelle l’intéressé exerce la profession de « cafetier restaurateur » et non de serveur. Pour ce motif également, il y a lieu de s’écarter du montant figurant sur les fiches de salaire produites en première instance par l’intimé.</w:t>
      </w:r>
    </w:p>
    <w:p>
      <w:r>
        <w:t>- 17 - Au vu de ces divers éléments, il se justifie de s’en tenir aux décomptes d’août et septembre 2018 produits en appel par la gérance. Le montant net de 4'061 fr. 10 indiqué sur ces pièces doit s’entendre – à l’instar de celui figurant sur les décomptes produits en première instance – comme le revenu perçu à un taux de 70%. L’intimé n’a produit aucune pièce à l’appui de son allégation – faite à l’audience d’appel – selon laquelle il s’agirait d’un salaire à 100%, comportement que l’intéressé doit se laisser opposer, au vu de son devoir de collaboration (cf. consid. 2.1 supra). Il apparaît d’ailleurs invraisemblable qu’à l’appui de sa demande de location, l’intimé ait indiqué à la gérance un revenu (hypothétique) à 100% alors qu’il travaille à 70%. Ainsi, reporté à 100%, c’est un revenu hypothétique net de 5'801 fr. 60 (4'061 fr. 10 x 70 : 100) qui doit être imputé à l’intimé.</w:t>
      </w:r>
    </w:p>
    <w:p>
      <w:r>
        <w:rPr>
          <w:b/>
        </w:rPr>
        <w:t>E. 4</w:t>
      </w:r>
    </w:p>
    <w:p>
      <w:r>
        <w:t>décembre 2017/555 consid. 7.2.2 ; Juge délégué CACI 28 mars 2017/128 consid. 3.1 et les réf. cit.).</w:t>
      </w:r>
    </w:p>
    <w:p>
      <w:r>
        <w:rPr>
          <w:b/>
        </w:rPr>
        <w:t>E. 4.1</w:t>
      </w:r>
    </w:p>
    <w:p>
      <w:r>
        <w:t>L’appelante fait valoir que le montant de la contribution d’entretien qui doit être versé à l’enfant Z.________ par l’intimé devrait correspondre au disponible de ce dernier, qu’elle estime à 1'372 fr. 60, sur la base d’un revenu hypothétique de 4'860 fr. et des charges – non contestées – de 3'487 fr. 40.</w:t>
      </w:r>
    </w:p>
    <w:p>
      <w:r>
        <w:rPr>
          <w:b/>
        </w:rPr>
        <w:t>E. 4.2</w:t>
      </w:r>
    </w:p>
    <w:p>
      <w:r>
        <w:t>Selon l'art. 285 al. 1 CC, dans sa version en vigueur depuis le 1er janvier 2017, la contribution d'entretien doit correspondre aux besoins de l'enfant ainsi qu'à la situation et aux ressources des père et mère; il est tenu compte de la fortune et des revenus de l'enfant. L'alinéa 2 de cette disposition prévoit que la contribution d'entretien sert aussi à garantir la prise en charge de l'enfant par les parents et les tiers. La prise en charge de l'enfant implique de garantir, économiquement parlant, que le parent qui assure la prise en charge puisse subvenir à ses propres besoins tout en s'occupant de l'enfant. Cela signifie que la contribution de prise en charge doit inclure les frais de</w:t>
      </w:r>
    </w:p>
    <w:p>
      <w:r>
        <w:t>- 18 - subsistance (Lebenshaltungskosten) dudit parent, les parents étant tenus d'assumer ensemble ces frais non pas dans l'intérêt du parent qui s'occupe de l'enfant mais uniquement dans celui de l'enfant. Dans le cadre du nouveau droit, la doctrine préconise de procéder d'abord au calcul des coûts directs de l'enfant, puis de déterminer le minimum vital du parent gardien. Si ce parent accuse un déficit, celui-ci constituera la contribution de prise en charge. L’addition des coûts directs de l’enfant – éventuellement pondérés en fonction de la prise en charge effective de chaque parent – et de la contribution de prise en charge constituera le montant dû au titre de contribution d’entretien pour l’enfant (TF 5A_454/2017 du 17 mai 2018 consid. 7.1.2 et 7.1.3 et les réf. cit. ; Juge délégué CACI 31 mai 2018/322 consid. 6.2 ; Juge délégué CACI 8 mars 2018/155 consid. 6.4.2 et 6.4.3 ; Juge délégué CACI</w:t>
      </w:r>
    </w:p>
    <w:p>
      <w:r>
        <w:rPr>
          <w:b/>
        </w:rPr>
        <w:t>E. 4.3</w:t>
      </w:r>
    </w:p>
    <w:p>
      <w:r>
        <w:t>En l’espèce, les parties ont convenu, lors de l’audience du 21 décembre 2018, de fixer le montant assurant l’entretien convenable de Z.________ à 936 francs. L’appelante soutient que ce montant correspondrait aux coûts directs de l’enfant. Il y a lieu de s’en tenir à cette appréciation – du reste non expressément contestée, même à titre subsidiaire, par l’intimé –, en l’absence de tout élément permettant de retenir que les parties ont convenu d’inclure dans ces 936 fr. une contribution de prise en charge au sens défini par la jurisprudence précitée (cf. consid. 4.2 supra). Cette appréciation se justifie d’autant plus que ce montant (936 fr.) a été fixé par les parties « après déduction de l'allocation familiale par 250 fr. par mois », ce qui est conforme à la pratique constante de la Cour de céans (cf. par ex. CACI 15 mai 2019/275 consid. 7.2 et 9), selon laquelle les allocations familiales sont déduites du coût d'entretien de l'enfant et non du montant incluant la contribution de prise en charge, laquelle vient ensuite s’ajouter, le cas échéant, aux coûts directs de l’enfant pour constituer la contribution d’entretien.</w:t>
      </w:r>
    </w:p>
    <w:p>
      <w:r>
        <w:t>- 19 - De son côté, après couverture de ses charges mensuelles de 3'487 fr. 40, telles que retenues par le premier juge et non contestées, le budget mensuel de l’intimé présente, compte tenu d’un revenu mensuel net hypothétique de 5'801 fr. 60 (cf. consid. 3.3 supra), un excédent de 2'314 fr. 20 (5'801 fr. 60 – 3'487 fr. 40). Quant à l’appelante, son budget mensuel présente un déficit de 267 fr. 40, tel que retenu par le premier juge et non contesté. L’appelante n’est donc pas en mesure de contribuer financièrement à l’entretien de Z.________. Les coûts directs de l’enfant devront être intégralement couverts par l’intimé, qui a un disponible suffisant. Le déficit de l’appelante devra en outre être comblé par l’intimé à titre de contribution de prise en charge. Ainsi, la contribution en faveur de l’enfant Z.________ mise à la charge du père doit être arrêtée à 1'203 fr. 40 (936 fr. + 267 fr. 40), arrondie à 1'200 fr., ce qui laisse encore à ce dernier un disponible de 1'110 fr 80 (5'801 fr. 60 – 3'487 fr. 40 – 1'203 fr. 40), l’appelante ne réclamant aucune pension pour elle-même. Les allocations familiales, non comprises, seront dues en sus. Dès lors que la requête a été déposée dans le courant du mois de novembre 2018, ladite contribution prendra effet dès le 1er décembre 2018, la fixation d’un délai d’adaptation ne se justifiant pas dans la mesure où B.O.________ travaillait déjà au tea-room de son père au moment de la suspension de la vie commune et où rien n’indique que l’intéressé – qui n’a pas d’enfant à charge et qui est en bonne santé – ne disposerait pas d’une pleine et entière capacité de travail, ce qu’il n’a du reste pas allégué, ni a fortiori prouvé, l’intimé ayant d’ailleurs déclaré à l’audience de première instance qu’il projetait de suivre, au début de l'année 2019, une formation de masseur à raison de deux week-ends par mois, sans qu’il ait ensuite été démontré que celle-ci a effectivement été entreprise.</w:t>
      </w:r>
    </w:p>
    <w:p>
      <w:r>
        <w:t>- 20 -</w:t>
      </w:r>
    </w:p>
    <w:p>
      <w:r>
        <w:rPr>
          <w:b/>
        </w:rPr>
        <w:t>E. 5.1</w:t>
      </w:r>
    </w:p>
    <w:p>
      <w:r>
        <w:t>Il s’ensuit que l’appel doit être admis et l’ordonnance attaquée réformée en ce sens que l’intimé sera astreint à contribuer à l'entretien de son fils Z.________ par le versement d’une contribution mensuelle de 1'200 fr., allocations familiales dues en sus, payable d’avance en main de l’appelante, dès et y compris le 1er décembre 2018.</w:t>
      </w:r>
    </w:p>
    <w:p>
      <w:r>
        <w:rPr>
          <w:b/>
        </w:rPr>
        <w:t>E. 5.2.1</w:t>
      </w:r>
    </w:p>
    <w:p>
      <w:r>
        <w:t>Selon l'art. 95 al. 1 CPC, les frais englobent les frais judiciaires et les dépens, soit notamment les débours nécessaires et le défraiement d'un représentant professionnel (95 al. 3 let. a et b CPC), notion qui vise essentiellement les frais d'avocat (Tappy, Commentaire romand, CPC, Bâle 2019, n. 26 ad art. 95 CPC). Conformément à l'art. 106 al. 1 CPC, les frais sont mis à la charge de la partie succombante. Lorsqu'aucune des parties n'obtient entièrement gain de cause, les frais sont répartis selon le sort de la cause (art. 106 al. 2 CPC). Par partie succombante au sens de l'art. 106 al. 1 CPC, il faut entendre la partie qui perd le procès au sens courant, soit le demandeur dont les prétentions sont rejetées ou écartées, ou le défendeur qui est condamné dans le sens demandé par son adversaire (Tappy, op. cit., n. 12 ad art. 106 CPC).</w:t>
      </w:r>
    </w:p>
    <w:p>
      <w:r>
        <w:rPr>
          <w:b/>
        </w:rPr>
        <w:t>E. 5.2.2</w:t>
      </w:r>
    </w:p>
    <w:p>
      <w:r>
        <w:t>En l’espèce, l’appelante gagne sur la question de principe et obtient presque entièrement gain de cause s’agissant du montant de la contribution d’entretien due à l’enfant, ce qui justifie de mettre à la charge de l’intimé les frais judiciaires de deuxième instance, arrêtés à 600 fr. (art. 65 al. 2 TFJC [tarif des frais judiciaires civils du 28 septembre 2010 ; RSV 270.11.5]). L’intimé doit ainsi à l’appelante la somme de 600 fr. à titre de restitution de l’avance de frais fournie par celle-ci (art. 111 al. 2 CPC). L’intimé versera également des dépens de deuxième instance à l’appelante, dont la quotité peut être estimée à 1'600 fr. (art. 3 al. 1 et 2,</w:t>
      </w:r>
    </w:p>
    <w:p>
      <w:r>
        <w:t>- 21 - ainsi que 7 TDC [tarif des dépens en matière civile du 23 novembre 2010 ; RSV 270.11.6]). Par ces motifs, le Juge délégué de la Cour d’appel civile prononce : I. L’appel est admis. II. L’ordonnance de mesures protectrices de l’union conjugale du 14 février 2019 est réformée au chiffre IV de son dispositif comme il suit : IV. dit que, dès et y compris le 1er décembre 2018, B.O.________ est tenu de contribuer à l’entretien de son fils Z.________ par le régulier versement d’une pension mensuelle de 1'200 fr. (mille deux cents francs), allocations familiales dues en sus, payable d’avance le premier de chaque mois en main d’A.O.________ ; L’ordonnance est confirmée pour le surplus. III. Les frais judiciaires de deuxième instance, arrêtés à 600 fr. (six cents francs), sont mis à la charge de l’intimé B.O.________. IV. L’intimé B.O.________ doit verser à l’appelante A.O.________ la somme de 2'200 fr. (deux mille deux cents francs) à titre de dépens et de restitution d’avance de frais de deuxième instance. V. L’arrêt est exécutoire.</w:t>
      </w:r>
    </w:p>
    <w:p>
      <w:r>
        <w:t>- 22 - Le juge délégué : Le greffier : Du Le présent arrêt, dont la rédaction a été approuvée à huis clos, est notifié en expédition complète à : - Me Christine Raptis (pour A.O.________), - Me Véronique Fontana (pour B.O.________), et communiqué, par l'envoi de photocopies, à : - Mme la Vice-présidente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- 23 -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