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JS18.046705 vom 20. Juni 2019</w:t>
      </w:r>
    </w:p>
    <w:p>
      <w:r>
        <w:t>VD Tribunal cantonal, 2019-06-20, FR</w:t>
      </w:r>
    </w:p>
    <w:p>
      <w:r>
        <w:rPr>
          <w:b/>
        </w:rPr>
        <w:t xml:space="preserve">Quelle: </w:t>
      </w:r>
      <w:r>
        <w:t>https://mcp.opencaselaw.ch/entscheid/vd_gerichte_JS18.046705</w:t>
      </w:r>
    </w:p>
    <w:p>
      <w:r>
        <w:t>FR: VD_GERICHTE JS18.046705 du 20 juin 2019</w:t>
      </w:r>
    </w:p>
    <w:p>
      <w:r>
        <w:t>IT: VD_GERICHTE JS18.046705 del 20 giugno 2019</w:t>
      </w:r>
    </w:p>
    <w:p>
      <w:pPr>
        <w:pStyle w:val="Heading2"/>
      </w:pPr>
      <w:r>
        <w:t>Erwägungen</w:t>
      </w:r>
    </w:p>
    <w:p>
      <w:r>
        <w:rPr>
          <w:b/>
        </w:rPr>
        <w:t>E. 3.1</w:t>
      </w:r>
    </w:p>
    <w:p>
      <w:r>
        <w:t>L’appelant fait valoir que la décision du premier juge de restreindre son droit de visite sur ses trois enfants s’avère sinon manifestement mal fondée, du moins totalement disproportionnée. Il reproche à l’autorité inférieure de s’être laissé influencer par le rapport du SPJ et fait en substance grief à l’auteur de ce rapport, à savoir l’assistant</w:t>
      </w:r>
    </w:p>
    <w:p>
      <w:r>
        <w:t>- 13 - social pour la protection des mineurs en charge du mandat de curatelle d’assistance socio-éducative instituée en faveur des trois enfants, d’avoir repris les affirmations de la mère sans les discuter et de n’avoir pas pris en compte le souhait des aînées de passer plus de temps avec leur père. Il soutient que le rapport a été établi sans même que son auteur se soit rendu chez l’un et l’autre parent et qu’on ignore de surcroît si les enfants ont été entendus avant que le rapport soit rédigé. L’appelant conteste par ailleurs son prétendu manque de coopération et estime avoir fait tout ce qui était en son pouvoir pour le bien-être des enfants. Il fait en outre valoir que le signalement des enfants émane du médecin psychiatre auprès de laquelle l’intimée est suivie de sorte que les accusations de ce médecin auraient dû être appréciées avec circonspection. Enfin, il se prévaut de la liberté de religion garantie par la Constitution fédérale et considère qu’on ne saurait refuser le droit de visite à un père sous prétexte que ses convictions religieuses seraient en contradiction avec celles de la mère.</w:t>
      </w:r>
    </w:p>
    <w:p>
      <w:r>
        <w:rPr>
          <w:b/>
        </w:rPr>
        <w:t>E. 3.2.1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w:t>
      </w:r>
    </w:p>
    <w:p>
      <w:r>
        <w:t>- 14 - 965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 984 et 985, p. 635-636 et les réf. citées). La notion que l'enfant a du temps – selon son âge – est également importante : ainsi, de fréquentes rencontres de quelques heures peuvent être plus appropriées pour des enfants en bas âge que des week-ends entiers (Leuba, Commentaire romand, Code civil I, 2010, n. 14 ss ad art. 273 CC). Des conditions particulières pour l'exercice du droit de visite peuvent en outre être imposées (Hegnauer, op. cit., n. 19.16 p. 114).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w:t>
      </w:r>
    </w:p>
    <w:p>
      <w:r>
        <w:t>- 15 -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 citées). Le retrait de tout droit à des relations personnelles constitue ainsi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w:t>
      </w:r>
    </w:p>
    <w:p>
      <w:r>
        <w:t>- 16 -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w:t>
      </w:r>
    </w:p>
    <w:p>
      <w:r>
        <w:rPr>
          <w:b/>
        </w:rPr>
        <w:t>E. 3.2.2</w:t>
      </w:r>
    </w:p>
    <w:p>
      <w:r>
        <w:t>Le tribunal établit sa conviction par une libre appréciation des preuves administrées (art. 157 CPC). Pour trancher le sort des enfants, le juge peut ordonner une expertise. Toutefois, il n'est pas lié par les conclusions qui en ressortent, mais doit les apprécier en tenant compte de l'ensemble des autres preuves administrées. Le juge ne saurait néanmoins s'en écarter sans raison sérieuse et doit motiver sa décision à cet égard (ATF 133 II 384 consid. 4.2.3; 129 I 49 consid. 4; 128 I 81 consid. 2; arrêt 5A_478/2016 du 10 mars 2017 consid. 5.2.2).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 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(TF 5A_485/2012 du 11 septembre 2012 consid. 4.1 ; ATF 110 Ib 42 consid. 2 ; ATF 101 Ib 405 consid. 3b/aa). Le juge n'a toutefois en principe pas d'obligation de mettre en oeuvre une telle mesure probatoire et peut fonder sa conviction sur d'autres moyens de preuve à sa disposition (TF 5A_794/2017 du 5 février 2018 consid. 4.1), telle l’évaluation sociale effectuée par un travailleur social formé (renseignements écrits des services officiels, art. 190 CPC). Il</w:t>
      </w:r>
    </w:p>
    <w:p>
      <w:r>
        <w:t>- 17 -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TF 5A_512/2017 du 22 décembre 2017 consid. 3.4.1 et les références). Le juge peut s'écarter des conclusions d'un rapport établi par un tel service à des conditions moins strictes que celles applicables lorsqu'il s'agit d'une expertise judiciaire (TF 5A_512/2017 précité consid. 3.4.3 in fine). Il en va de même s'agissant d'un rapport rendu par un curateur, étant pour le surplus rappelé qu'il n'appartient pas à ce dernier, mais au juge de trancher (cf. TF 5A_34/2017 du</w:t>
      </w:r>
    </w:p>
    <w:p>
      <w:r>
        <w:rPr>
          <w:b/>
        </w:rPr>
        <w:t>E. 3.3</w:t>
      </w:r>
    </w:p>
    <w:p>
      <w:r>
        <w:t>En l’espèce, la limitation du droit de visite de l’appelant est justifiée par le besoin de protection des enfants, dès lors que – selon le rapport de renseignements du SPJ du 27 février 2019 – le père persiste à les conditionner aux instructions et concepts de valeurs et de croyance provenant de la communauté religieuse de [...], ce qui a pour effet de nuire gravement à leur bon développement psychologique et aux relations personnelles qu’ils entretiennent avec leur mère. Il ressort de ce rapport de renseignements que l’appelant, qui s’est engagé à ne plus fréquenter les cultes de cette communauté avec les enfants, continue à les exposer à cette doctrine religieuse prônant la « rupture avec le monde » et véhiculant un discours apocalyptique ayant pour effet de déstabiliser profondément les enfants, ce d’autant plus que l’intimée a pour sa part quitté cette communauté et décidé de « retourner vivre dans le monde ». L’appelant a ainsi déclaré dans son courrier électronique du 6 février 2019 au SPJ qu’il ne se sentait aucunement contraint de ne pas diffuser les vidéos You Tube provenant de son église ni de s’abstenir d’en parler aux enfants, bien au contraire, et qu’il comptait continuer à poursuivre dans cette voie. Selon le rapport de renseignements, les deux aînées sont devenues oppositionnelles envers</w:t>
      </w:r>
    </w:p>
    <w:p>
      <w:r>
        <w:t>- 18 - leur mère et s’avèrent clairement conditionnées par la position de force de leur père qui se sent légitimé par la doctrine extrême de son église. L’appelant, qui ne fait donc pas mystère de son intention de continuer à exposer les enfants aux concepts et dogmes véhiculés par cette communauté religieuse, ne soulève pas le moindre grief à l’encontre du rapport du SPJ, si ce n’est que ce service se serait laissé influencer par la mère et qu’il ne tiendrait aucunement compte du désir des enfants qui ont déclaré vouloir passer plus de temps avec leur père. L’appelant n’invoque cependant aucun élément susceptible de mettre en cause, au stade de la vraisemblance, les indices concrets de mise en danger des enfants ressortant du rapport de renseignements. Vu les déclarations de l’appelant émanant du courrier électronique qu’il a adressé le 18 février 2019 au SPJ, on voit mal comment il en pourrait en aller autrement. On ne discerne en particulier aucune contradiction dans ce rapport donnant à penser que la mesure contestée reposerait sur une constatation des faits inexacte ou que les recommandations du SPJ s’avéreraient dénuées de pertinence. Les parties ont été entendues par le SPJ et chacune a pu s’exprimer notamment sur la question de l’instruction religieuse et la fréquentation de la communauté « [...]». Le droit d’être entendu des enfants a également été respecté, puisque les aînées ont été entendues par l’autorité intimée le 4 avril 2019, soit après que cette dernière ait été saisie du signalement concernant la mise en danger d’un mineur dans son développement. Il est vrai que ce signalement émanait de la doctoresse [...], médecin psychiatre en charge du suivi de l’intimée, et qu’il doit à ce titre être apprécié avec une certaine retenue. Il n’en reste pas moins que le rapport du SPJ est fondé sur sa propre appréciation de la situation, situation que ce service connaît bien puisqu’il a été appelé à rédiger le rapport d’évaluation adressé au premier juge le 3 décembre 2018 et que l’assistant pour la protection des mineurs, auteur du rapport de renseignements du 27 février 2019, s’est vu confié le mandat de curatelle socio-éducative et de surveillance des relations personnelles institué en faveur des trois enfants selon ordonnance de mesures protectrices de</w:t>
      </w:r>
    </w:p>
    <w:p>
      <w:r>
        <w:t>- 19 - l’union conjugale du</w:t>
      </w:r>
    </w:p>
    <w:p>
      <w:r>
        <w:rPr>
          <w:b/>
        </w:rPr>
        <w:t>E. 4</w:t>
      </w:r>
    </w:p>
    <w:p>
      <w:r>
        <w:t>mai 2017 consid. 5.4 ; 5A_609/2016 du 13 février 2017 consid. 4.4 et les références [rendu en lien avec l'autorité parentale]).</w:t>
      </w:r>
    </w:p>
    <w:p>
      <w:r>
        <w:rPr>
          <w:b/>
        </w:rPr>
        <w:t>E. 5</w:t>
      </w:r>
    </w:p>
    <w:p>
      <w:r>
        <w:t>février 2019. En l’état, l’appelant apparaît enfermé dans ses dogmes religieux et manifestement incapable de percevoir que les valeurs et croyances issues de la communauté « [...]», qu’il persiste à vouloir transmettre aux enfants, les exposent à une situation de danger psychologique susceptible de nuire gravement à leur bon développement. Par ailleurs, il semble véhiculer une vision très négative de l’intimée qui a rejeté les dogmes de la communauté, se traduisant par un comportement oppositionnel des filles aînées et une péjoration des relations personnelles qu’elles entretiennent avec leur mère. C’est donc à juste titre que le premier juge a retenu, au stade de la vraisemblance, que le droit de visite tel que convenu par les parties mettait en danger le bien-être des enfants et qu’il convenait d’en restreindre l’exercice, eu égard à l’incapacité de l’appelant de se détacher des préceptes véhiculés par cette communauté, qualifiés d’extrêmes par le SPJ. La restriction prononcée, en tant qu’elle limite les relations personnelles à trois heures à quinzaine avec autorisation de sortir des locaux de Point Rencontre, apparaît en l’état adéquate et proportionnée, dès lors qu’elle permet de maintenir les relations personnelles avec le parent non-gardien et d’exercer une surveillance sur le bon déroulement du droit de visite, ce à tout le moins dans l’attente de connaître le résultat de l’expertise pédopsychiatrique qui n’a pu encore être mise en oeuvre. Cela étant, si la thérapie familiale auprès des Boréales devait évoluer favorablement, il y a aurait lieu, s’agissant de mesures provisoires, de réévaluer la situation dans le sens d’un élargissement des modalités précitées. Pour le surplus, on ne discerne aucune violation de la liberté de religion et de croyance de l’appelant, celui-ci demeurant libre de ses convictions religieuses, hormis en ce qui concerne l’enseignement dispensé aux enfants, leur mise en danger potentielle du fait du comportement excessif de l’appelant et de la doctrine religieuse véhiculée par ce dernier justifiant dans ces limites une restriction à la garantie constitutionnelle invoquée.</w:t>
      </w:r>
    </w:p>
    <w:p>
      <w:r>
        <w:t>- 20 - 4. En conclusion, l’appel, manifestement infondé, doit être rejeté selon le mode procédural de l’art. 312 al. 1 CPC et l’ordonnance entreprise confirmée. Dès lors que la cause de l’appelant apparaît dépourvue de toute chance de succès, sa requête d’assistance judiciaire sera rejetée (art. 117 let. b CPC). Les frais judiciaires de l’appelant, qui succombe (art. 106 al. 1 CPC), sont arrêtés à 800 francs. Cette somme comprend l’émolument forfaitaire pour l’ordonnance d’effet suspensif, par 200 fr. (art. 7 al. 1 et 60 TFJC appliqué par analogie), et l’émolument forfaitaire de décision sur appel, par 600 fr. (art. 65 al. 2 TFJC [tarif des frais judiciaires civils du 28 septembre 2010 ; BLV 270.11.5]). Il n’y a pas lieu à l’allocation de dépens de deuxième instance, l’intimée n’ayant pas été invitée à déposer une réponse. Par ces motifs, la juge déléguée de la Cour d’appel civile prononce : I. L’appel est rejeté. II. L’ordonnance est confirmée. III. La requête d’assistance judiciaire de l’appelant A.Z.________ est rejetée.</w:t>
      </w:r>
    </w:p>
    <w:p>
      <w:r>
        <w:t>- 21 - III. Les frais judiciaires de deuxième instance, arrêtés à 800 fr. (huit cents francs), sont mis à la charge de l’appelant A.Z.________. IV. L’arrêt est exécutoire. La juge déléguée : La greffière : Du Le présent arrêt, dont la rédaction a été approuvée à huis clos, est notifié en expédition complète à : - Me Laurent Gilliard (pour A.Z.________), - Me Alexa Landert (pour B.Z.________), et communiqué, par l'envoi de photocopies, à : - M. le Président du Tribunal civil de l’arrondissement de la Broye et du Nord vaudois ; - Service de protection de la jeunesse, ORPM du Nord vaudois ; - Point Rencontre ; - Les enfants mineures C.Z.________ et D.Z.________ qui sont âgées de plus de 14 ans (art. 301 let. b CPC).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