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JS18.042157 vom 25. März 2019</w:t>
      </w:r>
    </w:p>
    <w:p>
      <w:r>
        <w:t>VD Tribunal cantonal, 2019-03-25, FR</w:t>
      </w:r>
    </w:p>
    <w:p>
      <w:r>
        <w:rPr>
          <w:b/>
        </w:rPr>
        <w:t xml:space="preserve">Quelle: </w:t>
      </w:r>
      <w:r>
        <w:t>https://mcp.opencaselaw.ch/entscheid/vd_gerichte_JS18.042157</w:t>
      </w:r>
    </w:p>
    <w:p>
      <w:r>
        <w:t>FR: VD_GERICHTE JS18.042157 du 25 mars 2019</w:t>
      </w:r>
    </w:p>
    <w:p>
      <w:r>
        <w:t>IT: VD_GERICHTE JS18.042157 del 25 marzo 2019</w:t>
      </w:r>
    </w:p>
    <w:p>
      <w:pPr>
        <w:pStyle w:val="Heading2"/>
      </w:pPr>
      <w:r>
        <w:t>Erwägungen</w:t>
      </w:r>
    </w:p>
    <w:p>
      <w:r>
        <w:rPr>
          <w:b/>
        </w:rPr>
        <w:t>E. 1</w:t>
      </w:r>
    </w:p>
    <w:p>
      <w:r>
        <w:t>Par jugement du 6 mars 2019, le Président du Tribunal civil de l’arrondissement de La Côte a, en substance, ordonné à tout employeur du défendeur T.________, actuellement [...], [...], 9464 Rüthi, respectivement à toute caisse ou organisme servant au prénommé des indemnités, rentes, salaires ou allocations, de prélever sur son salaire la somme de 1'050 fr. par mois et de la verser directement sur le compte privé dont la demanderesse V.________ est titulaire auprès de la Banque Cantonale Vaudoise (IBAN [...]) (I), a mis les frais judiciaires, arrêtés à 700 fr. pour la procédure superprovisionnelle et provisionnelle et pour la procédure au fond, à la charge de T.________ (II), a dit que celui-ci devait restituer à V.________ l’avance de frais qu’elle avait fournie à concurrence de 700 fr. (III), a dit que T.________ devait verser à V.________ la somme de 2'000 fr. à titre de dépens pour la procédure au fond et pour la procédure superprovisionnelle et provisionnelle (IV), a constaté que la procédure provisionnelle n’avait plus d’objet (V), a dit que le jugement était immédiatement exécutoire nonobstant recours ou appel (VI) et a rejeté toutes autres ou plus amples conclusions (VII).</w:t>
      </w:r>
    </w:p>
    <w:p>
      <w:r>
        <w:rPr>
          <w:b/>
        </w:rPr>
        <w:t>E. 2</w:t>
      </w:r>
    </w:p>
    <w:p>
      <w:r>
        <w:t>Par acte du 11 mars 2019, T.________ a interjeté appel contre le jugement susmentionné.</w:t>
      </w:r>
    </w:p>
    <w:p>
      <w:r>
        <w:rPr>
          <w:b/>
        </w:rPr>
        <w:t>E. 3</w:t>
      </w:r>
    </w:p>
    <w:p>
      <w:r>
        <w:t>Par lettre du 20 mars 2019, T.________ a déclaré retirer son appel. Il convient d’en prendre acte et de rayer la cause du rôle (art. 241 al. 3 CPC), ce qui relève de la compétence de la Juge déléguée de la Cour de céans (art. 43 al. 1 let. a CDPJ [Code de droit privé judiciaire vaudois du 12 janvier 2010 ; BLV 211.02]).</w:t>
      </w:r>
    </w:p>
    <w:p>
      <w:r>
        <w:t>- 3 -</w:t>
      </w:r>
    </w:p>
    <w:p>
      <w:r>
        <w:rPr>
          <w:b/>
        </w:rPr>
        <w:t>E. 4</w:t>
      </w:r>
    </w:p>
    <w:p>
      <w:r>
        <w:t>Le présent arrêt peut être rendu sans frais judiciaires (art. 11 TFJC [tarif du 28 septembre 2010 des frais judiciaires civils ; BLV 270.11.5]). Il n’y a pas lieu à l’allocation de dépens, V.________ n’ayant pas été invitée à se déterminer sur l’acte d’appel. Par ces motifs, la juge déléguée de la Cour d'appel civile prononce : I. Il est pris acte du retrait de l’appel. II. La cause est rayée du rôle. III. L'arrêt, rendu sans frais, est exécutoire. La juge déléguée : Le greffier : Du Le présent arrêt, dont la rédaction a été approuvée à huis clos, est notifié à : - M. T.________, - Me Dominique-Anne Kirchhofer (pour V.________),</w:t>
      </w:r>
    </w:p>
    <w:p>
      <w:r>
        <w:t>- 4 -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