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JS18.036891 vom 5. August 2019</w:t>
      </w:r>
    </w:p>
    <w:p>
      <w:r>
        <w:t>VD Tribunal cantonal, 2019-08-05, FR</w:t>
      </w:r>
    </w:p>
    <w:p>
      <w:r>
        <w:rPr>
          <w:b/>
        </w:rPr>
        <w:t xml:space="preserve">Quelle: </w:t>
      </w:r>
      <w:r>
        <w:t>https://mcp.opencaselaw.ch/entscheid/vd_gerichte_JS18.036891</w:t>
      </w:r>
    </w:p>
    <w:p>
      <w:r>
        <w:t>FR: VD_GERICHTE JS18.036891 du 5 août 2019</w:t>
      </w:r>
    </w:p>
    <w:p>
      <w:r>
        <w:t>IT: VD_GERICHTE JS18.036891 del 5 agosto 2019</w:t>
      </w:r>
    </w:p>
    <w:p>
      <w:pPr>
        <w:pStyle w:val="Heading2"/>
      </w:pPr>
      <w:r>
        <w:t>Erwägungen</w:t>
      </w:r>
    </w:p>
    <w:p>
      <w:r>
        <w:rPr>
          <w:b/>
        </w:rPr>
        <w:t>E. 1</w:t>
      </w:r>
    </w:p>
    <w:p>
      <w:r>
        <w:t>Par acte du 23 avril 2019, A.J.________, appelante, a fait appel de l’ordonnance de mesures protectrices de l’union conjugale précitée. Le 7 juin 2019, B.J.________, intimé, a déposé une réponse. Par ordonnance du 24 mai 2019, le Juge délégué de la Cour de céans a accordé à A.J.________ le bénéfice de l'assistance judiciaire avec effet au 23 avril 2019 dans la procédure d'appel. Lors de l'audience d'appel du 1er juillet 2019, les parties ont signé une convention, consignée au procès-verbal et ratifiée séance tenante par le Juge délégué pour valoir arrêt sur appel de mesures protectrices de l'union conjugale, dont la teneur est la suivante : « I. Parties conviennent de modifier les chiffres VII et VIII de l’ordonnance de mesures protectrices de l’union conjugale rendue le 11 avril 2019 par le Président du Tribunal civil de l’arrondissement de Lausanne en ce sens qu’en sus des contributions d’entretien prévues auxdits chiffres, B.J.________ versera la moitié des allocations familiales perçues pour chacun des enfants, dès le 1er août 2019. II. Parties prendront en charge par moitié les éventuels frais extraordinaires relatifs aux enfants [...] et [...], tels que l’orthodontie, les activités extrascolaires, etc., moyennant accord préalable sur le principe et la quotité des dépenses concernées, étant précisé que ledit accord devra, le cas échéant, être donné dans un délai de 15 jours dès la soumission des devis. Le silence de l’autre partie dans le délai précité ne vaut pas acceptation. III. Le montant à charge de A.J.________ en relation avec son propre loyer, qui n’a pas été réglé de mi-décembre 2018 à avril 2019, sera remboursé par cette dernière à B.J.________ dans le cadre de la liquidation du régime matrimonial. IV. Les frais judiciaires de deuxième instance sont partagés par moitié entre les parties, ces dernières renonçant réciproquement à l’allocation de dépens. »</w:t>
      </w:r>
    </w:p>
    <w:p>
      <w:r>
        <w:t>- 3 -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BLV 270.11.5), arrêtés à 400 fr. (art. 65 al. 2 TFJC), seront mis à la charge de B.J.________ par 200 fr. et laissés à la charge de l'Etat par 200 fr. pour A.J.________ (art. 122 al. 1 let. b CPC). Il n'y a pas lieu à l'allocation de dépens de deuxième instance.</w:t>
      </w:r>
    </w:p>
    <w:p>
      <w:r>
        <w:rPr>
          <w:b/>
        </w:rPr>
        <w:t>E. 4</w:t>
      </w:r>
    </w:p>
    <w:p>
      <w:r>
        <w:t>Le conseil de l'appelante a indiqué dans sa liste d'opérations avoir consacré 10 heures et 48 minutes au dossier. Vu la nature du litige et les difficultés de la cause, il y a lieu d’admettre ce nombre. Il s'ensuit qu'au tarif horaire de 180 fr., l'indemnité de Me Fox doit être fixée à 1'944 fr., montant auquel s'ajoutent le forfait de vacation par 120 fr., les débours par 97 fr. 20 et la TVA sur le tout par 166 fr. 40 fr., soit 2'327 fr. 60 au total. La bénéficiaire de l'assistance judiciaire est, dans la mesure de l'art. 123 CPC, tenue au remboursement des frais judiciaires et de l'indemnité au conseil d'office mis à la charge de l'Etat.</w:t>
      </w:r>
    </w:p>
    <w:p>
      <w:r>
        <w:t>- 4 - Par ces motifs, le juge délégué de la Cour d'appel civile prononce : I. Les frais judiciaires de deuxième instance, arrêtés à 400 fr. (quatre cents francs) sont mis à la charge de B.J.________ par 200 fr. (deux cents francs) et laissés à la charge de l’Etat par 200 fr. (deux cents francs) pour A.J.________. II. L'indemnité d'office de Me Robert Fox, conseil de l'appelante A.J.________, est arrêtée à 2'327 fr. 60 (deux mille trois cent vingt-sept francs et soixante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La greffière :</w:t>
      </w:r>
    </w:p>
    <w:p>
      <w:r>
        <w:t>- 5 - Du Le présent arrêt, dont la rédaction a été approuvée à huis clos, est notifié à : - Me Robert Fox (pour A.J.________), - Me Patricia Michellod (pour B.J.________),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