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JS18.036351 vom 25. Februar 2019</w:t>
      </w:r>
    </w:p>
    <w:p>
      <w:r>
        <w:t>VD Tribunal cantonal, 2019-02-25, FR</w:t>
      </w:r>
    </w:p>
    <w:p>
      <w:r>
        <w:rPr>
          <w:b/>
        </w:rPr>
        <w:t xml:space="preserve">Quelle: </w:t>
      </w:r>
      <w:r>
        <w:t>https://mcp.opencaselaw.ch/entscheid/vd_gerichte_JS18.036351</w:t>
      </w:r>
    </w:p>
    <w:p>
      <w:r>
        <w:t>FR: VD_GERICHTE JS18.036351 du 25 février 2019</w:t>
      </w:r>
    </w:p>
    <w:p>
      <w:r>
        <w:t>IT: VD_GERICHTE JS18.036351 del 25 febbraio 2019</w:t>
      </w:r>
    </w:p>
    <w:p>
      <w:pPr>
        <w:pStyle w:val="Heading2"/>
      </w:pPr>
      <w:r>
        <w:t>Erwägungen</w:t>
      </w:r>
    </w:p>
    <w:p>
      <w:r>
        <w:rPr>
          <w:b/>
        </w:rPr>
        <w:t>E. 3.1</w:t>
      </w:r>
    </w:p>
    <w:p>
      <w:r>
        <w:t>L’appelant soutient en substance que l’interdiction qui lui est faite serait inadéquate, inutile et disproportionnée.</w:t>
      </w:r>
    </w:p>
    <w:p>
      <w:r>
        <w:t>- 10 -</w:t>
      </w:r>
    </w:p>
    <w:p>
      <w:r>
        <w:rPr>
          <w:b/>
        </w:rPr>
        <w:t>E. 3.2</w:t>
      </w:r>
    </w:p>
    <w:p>
      <w:r>
        <w:t>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à une telle action peut, en vertu de l'art. 28c al. 1 CC, requérir des mesures provisionnelles s'il rend vraisemblable qu'il est l'objet d'une atteinte illicite à sa personnalité, que cette atteinte est imminente ou actuelle et qu'elle risque de lui causer un préjudice difficilement réparable.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Commentaire romand, CC I, Bâle 2010, nn. 67ss ad art. 28 CC et les références citées). L’art. 28b CC –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de même que les art. 28c à 28f CC (mesures provisionnelles) (Jeandin/Peyrot, Commentaire romand, CC I, op. cit., n. 3 ad art. 28b CC et les références citées).</w:t>
      </w:r>
    </w:p>
    <w:p>
      <w:r>
        <w:t>- 11 - Selon la jurisprudence du Tribunal fédéral (TF 5A_526/2009 du</w:t>
      </w:r>
    </w:p>
    <w:p>
      <w:r>
        <w:rPr>
          <w:b/>
        </w:rPr>
        <w:t>E. 3.3</w:t>
      </w:r>
    </w:p>
    <w:p>
      <w:r>
        <w:t>En l’espèce, l’appelant ne dit pas en quoi la mesure ordonnée ne serait pas adéquate. On relèvera toutefois que l’interdiction prononcée est bien propre à éviter le harcèlement par voie électronique dont il a été l’auteur. Selon l’appelant, cette mesure serait inutile car elle a été ordonnée plus de trois mois après qu’il ait cessé ses agissements et il s’est excusé en engagé à l’audience du 29 octobre 2018 à ne pas recommencer. Certes, mais il n’a pas suffi que l’intimée saisisse le juge le 23 août 2018. En effet, le 24 août 2018, l’appelant persistait dans une</w:t>
      </w:r>
    </w:p>
    <w:p>
      <w:r>
        <w:t>- 12 - conclusion II à exiger une rencontre avec le « concubin » de l’intimée afin de « faire sa connaissance ». Il a ainsi fallu attendre le jour de l’audience pour qu’il retire cette conclusion et s’excuse auprès de l’intimée. Ainsi, alors que les parties étaient séparées depuis le 12 octobre 2017, une année après, l’appelant avait encore de la peine à comprendre que la nouvelle relation de son épouse ne le regardait pas. Dans ces conditions, on peut légitimement craindre que l’appelant reprenne ses agissements si l’interdiction litigieuse était déjà supprimée aujourd’hui. S’agissant de la proportionnalité de la mesure, l’appelant soutient d’une part que le comportement interdit ne serait pas suffisamment précis et d’autre part que la durée de l’interdiction serait indéterminée. A tort. Le texte de l’ordonnance est très clair. Ses interventions auprès de son épouse doivent être limitées à celles concernant l’enfant commun. C’est très précis et conforme au texte de l’art. 28b CC. Quant à la durée indéterminée, elle relève de l’appréciation du juge et le temps que l’appelant a mis à comprendre parle en faveur d’une durée indéterminée. On rappellera toutefois que l’on se trouve en l’état en mesures protectrices de l’union conjugale et que l’interdiction a un caractère provisoire, et non définitif. Dès lors, si l’appelant s’abstient de recommencer ses agissements illicites, il pourra sans doute dans quelques mois demander que l’ordonnance querellée soit rapportée. 4. Compte tenu de ce qui précède, l’appel doit être rejeté selon le mode procédural de l’art. 312 al. 1 CPC et l’ordonnance entreprise confirmée. Les frais judiciaires de deuxième instance, arrêtés à 600 fr. (art. 65 al. 2 TFJC [tarif des frais judiciaires civils du 28 septembre 2010; BLV 270.11.5]), doivent être mis à la charge de l’appelant, qui succombe (art. 106 al. 1 CPC). Il n’y a pas matière à l’allocation de dépens, l’intimée n’ayant pas été invitée à se déterminer.</w:t>
      </w:r>
    </w:p>
    <w:p>
      <w:r>
        <w:t>- 13 - Par ces motifs, le juge délégué de la Cour d’appel civile prononce : I. L’appel est rejeté. II. L’ordonnance est confirmée. III. Les frais judiciaires de deuxième instance, arrêtés à 600 fr. (six cents francs), sont mis à la charge de l’appelant A.J.________. IV. L’arrêt est exécutoire. Le juge délégué : La greffière : Du Le présent arrêt, dont la rédaction a été approuvée à huis clos, est notifié en expédition complète à : - Me Adrienne Favre (pour A.J.________), - Me Matthieu Genillod (pour B.J.________), et communiqué, par l'envoi de photocopies, à : - Mme la Présidente du Tribunal civil de l’arrondissement de Lausanne.</w:t>
      </w:r>
    </w:p>
    <w:p>
      <w:r>
        <w:t>- 14 -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octobre 2009 consid. 5.1 ; TF 5A_377/2009 du 3 septembre 2009 consid. 5.3.1), la violence au sens de l’art. 28b CC s’entend comme une atteinte directe à l'intégrité physique, psychique, sexuelle ou sociale d'une personne. Cette atteinte doit présenter un certain degré d'intensité, tout comportement socialement incorrect n'étant pas constitutif d'une atteinte à la personnalité (Jeandin, op. cit., nn. 13 et 14 ad art. 28b CC et les références citées ; rapport de la Commission des affaires juridiques du Conseil national, Initiative parlementaire, Protection contre la violence dans la famille et dans le couple, FF 2005 pp. 6437ss, p. 6450). Lorsqu’il ordonne des mesures de protection,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CC ne prévoyant pas de limite temporelle, le juge a la faculté de décider du caractère limité ou illimité dans le temps de celles-ci, usant en cela de son pouvoir discrétionnaire (Jeandin/Peyrot, op. cit., n. 17 ad art. 28b).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