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JS18.035355 vom 12. August 2020</w:t>
      </w:r>
    </w:p>
    <w:p>
      <w:r>
        <w:t>VD Tribunal cantonal, 2020-08-12, FR</w:t>
      </w:r>
    </w:p>
    <w:p>
      <w:r>
        <w:rPr>
          <w:b/>
        </w:rPr>
        <w:t xml:space="preserve">Quelle: </w:t>
      </w:r>
      <w:r>
        <w:t>https://mcp.opencaselaw.ch/entscheid/vd_gerichte_JS18.035355</w:t>
      </w:r>
    </w:p>
    <w:p>
      <w:r>
        <w:t>FR: VD_GERICHTE JS18.035355 du 12 août 2020</w:t>
      </w:r>
    </w:p>
    <w:p>
      <w:r>
        <w:t>IT: VD_GERICHTE JS18.035355 del 12 agosto 2020</w:t>
      </w:r>
    </w:p>
    <w:p>
      <w:pPr>
        <w:pStyle w:val="Heading2"/>
      </w:pPr>
      <w:r>
        <w:t>Erwägungen</w:t>
      </w:r>
    </w:p>
    <w:p>
      <w:r>
        <w:rPr>
          <w:b/>
        </w:rPr>
        <w:t>E. 1</w:t>
      </w:r>
    </w:p>
    <w:p>
      <w:r>
        <w:t>a) Le 10 juillet 2020, la Présidente du Tribunal civil de l’arrondissement de La Côte (ci-après : la présidente) a rendu une ordonnance fixant – par voie de mesures protectrices de l’union conjugale – l’entretien convenable des enfants B.W.________ et C.W.________ et les pensions dues par leur père A.W.________. b) Par courrier du 20 juillet 2020 adressé à la présidente, A.W.________ a indiqué qu’il contestait les contributions d’entretien fixées en faveur de ses enfants et a sollicité l’octroi d’un délai supplémentaire pour que l’association des pères, qui allait financer ses frais de mandataire professionnel, puisse entrer en contact avec un homme de loi et rédiger l’acte de recours. Le 24 juillet 2020, le Juge délégué de la Cour d’appel civile a écrit à A.W.________ pour lui indiquer que son courrier du 20 juillet 2020 avait été transmis au Tribunal cantonal comme objet de sa compétence et l’a informé que la loi ne permettait pas de prolonger le délai d’appel.</w:t>
      </w:r>
    </w:p>
    <w:p>
      <w:r>
        <w:rPr>
          <w:b/>
        </w:rPr>
        <w:t>E. 2</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w:t>
      </w:r>
    </w:p>
    <w:p>
      <w:r>
        <w:t>- 3 - conjugale (art. 84 al. 2 LOJV [loi d’organisation judiciaire du 12 décembre 1979 ; BLV 173.021]). En l’espèce, l’appel, déposé en temps utile par une partie qui a un intérêt digne de protection (art. 59 al. 2 let. a CPC), est recevable sous cet angle.</w:t>
      </w:r>
    </w:p>
    <w:p>
      <w:r>
        <w:rPr>
          <w:b/>
        </w:rPr>
        <w:t>E. 3.1.1</w:t>
      </w:r>
    </w:p>
    <w:p>
      <w:r>
        <w:t>L’appel ordinaire ayant un effet réformatoire, la partie appelante doit, sous peine d’irrecevabilité, prendre des conclusions au fond. Les conclusions réformatoires doivent être déterminées et précises, c'est-à-dire indiquer exactement quelles modifications sont demandées (Hohl, Procédure civile, tome II, 2e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5A_913/2014 du 5 février 2015 consid. 1.2).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 il ne saurait être remédié à l’absence de telles conclusions par la fixation d’un délai au sens de l’art. 132 CPC (Colombini, Code de procédure civile, Condensé de jurisprudence fédérale et vaudoise, Lausanne 2018, n. 9.3.1 ad art. 311 CPC et les réf. citées).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Des conclusions non chiffrées suffisent exceptionnellement lorsque la</w:t>
      </w:r>
    </w:p>
    <w:p>
      <w:r>
        <w:t>- 4 - somme à allouer est d'emblée reconnaissable au regard de la motivation du recours ou de la décision attaquée, voire du rapprochement des deux actes (ATF 134 III 235 consid. 2 et les références ; TF 5A_766/2008 du 4 février 2009 consid. 2.2, publié in FamPra.ch 2009 p. 422).</w:t>
      </w:r>
    </w:p>
    <w:p>
      <w:r>
        <w:rPr>
          <w:b/>
        </w:rPr>
        <w:t>E. 3.1.2</w:t>
      </w:r>
    </w:p>
    <w:p>
      <w:r>
        <w:t>L’appel doit en outre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w:t>
      </w:r>
    </w:p>
    <w:p>
      <w:r>
        <w:rPr>
          <w:b/>
        </w:rPr>
        <w:t>E. 3.2</w:t>
      </w:r>
    </w:p>
    <w:p>
      <w:r>
        <w:t>Le présent appel, qui porte exclusivement sur les contributions d’entretien dues en faveur des enfants, ne comporte pas de conclusions chiffrées. L’appelant évoque sa situation financière précaire, conteste la contribution fixée pour l’entretien de C.W.________, invoque un déséquilibre par rapport aux aides perçues par son épouse et indique qu’il ne voit pas comment il pourrait « survivre à [ses] dépenses en ajoutant cette pension qui est selon [lui] inéquitable. » On peut ainsi comprendre qu’il ne s’estime pas en mesure d’assumer les contributions d’entretien telles que fixées par le premier juge. Il ne précise cependant pas à</w:t>
      </w:r>
    </w:p>
    <w:p>
      <w:r>
        <w:t>- 5 - combien il voudrait voir réduites ces pensions, et la lecture des arguments invoqués dans son appel ne permet pas de le déterminer. Par ailleurs, la motivation de l’appel ne permet pas le réexamen de l’ordonnance entreprise et est donc insuffisante. L’appelant conteste certes la fixation des coûts directs de C.W.________, en tant qu’ils comprennent des activités (harpe et cirque) que sa fille ne suivrait plus, et remet en cause la fixation de la contribution d’entretien due en sa faveur, en se prévalant du fait que C.W.________ est gardée alternativement par chacun de ses parents. Il n’indique cependant pas pour quels motifs le raisonnement suivi par le premier juge pour fixer cette contribution à l’aune de la garde alternée exercée sur C.W.________ serait erroné. Il fait par ailleurs valoir que son épouse bénéficierait en réalité d’un disponible supérieur au sien mais ne démontre nullement en quoi le premier juge aurait erré en retenant, au vu des revenus et des charges essentielles de son épouse, que sa situation financière ne lui permettait pas de couvrir son minimum vital. Enfin, en ce qui concerne sa propre situation, l’appelant se borne à invoquer ses difficultés financières, sans expliquer notamment en quoi l’imputation d’un revenu hypothétique violerait les principes jurisprudentiels en la matière. Partant, faute de conclusions et de motivation suffisante, ce qui constitue un vice irréparable, il ne peut être entré en matière sur cet appel.</w:t>
      </w:r>
    </w:p>
    <w:p>
      <w:r>
        <w:rPr>
          <w:b/>
        </w:rPr>
        <w:t>E. 4</w:t>
      </w:r>
    </w:p>
    <w:p>
      <w:r>
        <w:t>Compte tenu de ce qui précède, l’appel doit être déclaré irrecevable selon le mode procédural de l’art. 312 al. 1 CPC. Le présent arrêt peut être rendu sans frais judiciaires (art. 11 TFJC [tarif des frais judiciaires civils du 28 septembre 2010 ; BLV 270.11.5]). Il n’y a pas matière à l’allocation de dépens, l’intimée n’ayant pas été invitée à se déterminer.</w:t>
      </w:r>
    </w:p>
    <w:p>
      <w:r>
        <w:t>- 6 - Par ces motifs, le Juge délégué de la Cour d’appel civile prononce : I. L’appel est irrecevable. II. L’arrêt, rendu sans frais judiciaires de deuxième instance, est exécutoire. Le juge délégué : La greffière : Du Le présent arrêt, dont la rédaction a été approuvée à huis clos, est notifié à : - A.W.________ personnellement, - Me Virginie Rodigari (pour H.________), et communiqué, par l'envoi de photocopies, à : - Mme la Présidente du Tribunal civil de l’arrondissement de La Côte. Le juge délégué de la Cour d’appel civile considère que la valeur litigieuse est supérieure à 30’000 à francs. Le présent arrêt peut faire l'objet d'un recours en matière civile devant le Tribunal fédéral au sens des art. 72 ss LTF (loi du 17 juin 2005 sur le Tribunal fédéral – RS 173.110), le cas échéant d'un recours</w:t>
      </w:r>
    </w:p>
    <w:p>
      <w:r>
        <w:t>- 7 -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