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JS18.022030 vom 25. September 2019</w:t>
      </w:r>
    </w:p>
    <w:p>
      <w:r>
        <w:t>VD Tribunal cantonal, 2019-09-25, FR</w:t>
      </w:r>
    </w:p>
    <w:p>
      <w:r>
        <w:rPr>
          <w:b/>
        </w:rPr>
        <w:t xml:space="preserve">Quelle: </w:t>
      </w:r>
      <w:r>
        <w:t>https://mcp.opencaselaw.ch/entscheid/vd_gerichte_JS18.022030</w:t>
      </w:r>
    </w:p>
    <w:p>
      <w:r>
        <w:t>FR: VD_GERICHTE JS18.022030 du 25 septembre 2019</w:t>
      </w:r>
    </w:p>
    <w:p>
      <w:r>
        <w:t>IT: VD_GERICHTE JS18.022030 del 25 settembre 2019</w:t>
      </w:r>
    </w:p>
    <w:p>
      <w:pPr>
        <w:pStyle w:val="Heading2"/>
      </w:pPr>
      <w:r>
        <w:t>Erwägungen</w:t>
      </w:r>
    </w:p>
    <w:p>
      <w:r>
        <w:rPr>
          <w:b/>
        </w:rPr>
        <w:t>E. 43</w:t>
      </w:r>
    </w:p>
    <w:p>
      <w:r>
        <w:t>et les réf. citées). En l’espèce, les pièces produites par les appelants à l’appui de leurs appels figurent toutes déjà au dossier de première instance et sont dès lors recevables.</w:t>
      </w:r>
    </w:p>
    <w:p>
      <w:r>
        <w:t>- 6 - 3. 3.1 Au stade de l’appel, les appelants ne concluent plus au prélèvement en leur faveur de la somme de 634 fr. sur la rente AI perçue par l’intimé. Ils concluent uniquement à la réforme du prononcé en ce sens qu’ordre soit donné à l’Office AI de leur verser directement sur leurs comptes respectifs les rentes AI pour enfant perçues par l’intimé, dès le 1er juin 2019. Ils qualifient leur conclusion en ce sens de requête d’avis aux débiteurs. Une telle requête n’étant pas soumise au préalable de la conciliation, ils estiment que c’est à tort que le premier juge l’aurait déclarée irrecevable. Les appelants rappellent en outre la teneur de l’art. 71ter al. 3 RAVS (règlement sur l’assurance-vieillesse et survivants du 31 octobre 1947 ; RS 831.101), selon lequel l’enfant majeur peut demander que la rente pour enfant lui soit versée directement. Ils y voient un motif supplémentaire d’ordonner le versement en leurs mains des rentes AI pour enfant perçues par l’intimé. 3.2 Aux termes de l’art. 291 CC,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qui se trouve en lien étroit avec le droit civil (TF 5A_479/2018 du 6 mai 2019 consid. 1.1, destiné à la publication). La procédure d'avis aux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5A_791/2012 du 18 janvier 2013 consid. 3 et 4). L’art. 71ter al. 3 RAVS, applicable en matière d’assurance- invalidité par renvoi de l’art. 82 al. 1 RAI (règlement du 17 janvier 1961 sur l'assurance-invalidité ; RS 831.201), prévoit en matière de rente pour enfant que la majorité de l'enfant ne modifie pas le mode de versement appliqué jusque-là, sauf si l'enfant majeur demande que la rente pour enfant lui soit versée directement.</w:t>
      </w:r>
    </w:p>
    <w:p>
      <w:r>
        <w:t>- 7 - Lorsqu’une contribution d’entretien pour l’enfant a été arrêtée, l’art. 285a al. 3 CC précise que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Cette disposition, dont la teneur est identique à l’art. 285 al. 2bis aCC, permet de faire l'économie d'une procédure formelle en modification de la contribution d'entretien (cf. TF 5A_372/2016 du 18 novembre 2016 consid. 5.1.2 ; TF 5A_496/2013 du 11 septembre 2013 consid. 2, publié in FamPra.ch 2014 p. 219). 3.3 En première instance, dans leurs écritures du 24 septembre 2018, les appelants ont pris deux conclusions : premièrement, ils ont conclu à ce qu’ordre soit donné à l’Office AI de prélever sur la rente AI de leur père les sommes mensuelles de 634 fr. par enfant et de les leur verser, du mois d’octobre 2018 au mois d’août 2019 ; deuxièmement, ils ont conclu à ce qu’ordre soit donné à l’Office AI de leur verser directement les rentes AI pour enfant octroyées à l’intimé sur leurs comptes respectifs, dès le 1er avril 2018. Le premier juge a rejeté la première conclusion des appelants, qu’il a à juste titre qualifiée de requête d’avis aux débiteurs, au motif que l’intimé s’acquittait désormais régulièrement des pensions mensuelles de 634 francs. Il a déclaré irrecevable la seconde, considérant qu’elle constituait une action en modification de la contribution d’entretien soumise au préalable de la conciliation. En deuxième instance, les appelants ont uniquement repris leur seconde conclusion, tendant au versement direct de la rente AI pour enfant perçue par l’intimé, en ne requérant toutefois son versement qu’à compter du 1er juin 2019. Seule cette dernière conclusion sera examinée par l’instance d’appel, à défaut de conclusion en réforme sur la première conclusion prise en première instance et rejetée par le premier juge.</w:t>
      </w:r>
    </w:p>
    <w:p>
      <w:r>
        <w:t>- 8 - A cet égard, les appelants qualifient la conclusion encore litigieuse en appel de requête d’avis aux débiteurs. Or, l’avis aux débiteurs, qui est une mesure d’exécution forcée sui generis, ne peut porter que sur une pension qui a déjà été arrêtée par convention ou par un jugement statuant sur l’entretien dû. Tel n’est pas le cas des rentes AI pour enfant perçues par l’intimé, celles-ci n’ayant pas été arrêtées par convention ou par un jugement statuant sur l’entretien dû, à l’inverse des sommes de 634 fr. par enfant qui font l’objet de la convention du 19 juillet 2018. Dès lors, la conclusion encore litigieuse en appel ne constitue pas une requête d’avis aux débiteurs et le moyen des appelants se révèle mal fondé. Cela étant, la conclusion en question ne peut pas non plus être interprétée comme une action en modification de la contribution d’entretien, comme l’a fait le premier juge, puisque la requête des appelants ne tend pas à ce qu’un montant différent du montant arrêté de 634 fr. soit dû par l’intimé à titre de contribution d’entretien, mais à ce que la rente AI pour enfant perçue par l’intimé soit versée directement aux appelants. En réalité, il apparaît, selon ce que relèvent eux-mêmes les appelants, que la loi prévoit expressément la possibilité pour l'enfant majeur de demander le versement direct de la rente AI pour enfant (cf. art. 71ter al. 3 RAVS). Les appelants, qui sont majeurs, n’avaient dès lors pas besoin d’actionner leur père pour obtenir le versement direct de la rente AI pour enfant, mais pouvaient directement se tourner vers l’Office AI afin que celui-ci procède au versement en leurs mains des rentes AI pour enfant allouées à l’intimé. En l’absence d’intérêt à agir (cf. art. 59 al. 2 let. a CPC), c’est en définitive à juste titre que le premier juge a déclaré leur requête irrecevable. C’est le lieu de relever que conformément au mécanisme prévu par l’art. 285a al. 3 CC, le versement aux appelants des rentes AI pour enfant perçues par l’intimé aura pour effet de réduire d’office en</w:t>
      </w:r>
    </w:p>
    <w:p>
      <w:r>
        <w:t>- 9 - conséquence la contribution d’entretien mensuelle de 634 fr. par enfant due par l’intimé. Cette disposition vise en effet précisément à éviter une action en modification de la contribution d’entretien lorsque le débiteur d’entretien perçoit des prestations sociales destinées à l’enfant en raison de son âge ou de son invalidité et en remplacement du revenu d’une activité. 4. Il découle des considérants qui précèdent que les appels doivent être rejetés et les prononcés entrepris confirmés. La cause des appelants étant dénuée de chances de succès, leurs requêtes d’assistance judiciaire doivent être rejetées (art. 117 let. b CPC). Il peut être statué sans frais judiciaires (art. 11 TFJC [tarif des frais judiciaires civils du 28 septembre 2010 ; BLV 270.11.5]), ni dépens, l’intimé ne s’étant pas déterminé et n’étant au demeurant pas représenté.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