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JS18.017723 vom 13. November 2018</w:t>
      </w:r>
    </w:p>
    <w:p>
      <w:r>
        <w:t>VD Tribunal cantonal, 2018-11-13, FR</w:t>
      </w:r>
    </w:p>
    <w:p>
      <w:r>
        <w:rPr>
          <w:b/>
        </w:rPr>
        <w:t xml:space="preserve">Quelle: </w:t>
      </w:r>
      <w:r>
        <w:t>https://mcp.opencaselaw.ch/entscheid/vd_gerichte_JS18.017723</w:t>
      </w:r>
    </w:p>
    <w:p>
      <w:r>
        <w:t>FR: VD_GERICHTE JS18.017723 du 13 novembre 2018</w:t>
      </w:r>
    </w:p>
    <w:p>
      <w:r>
        <w:t>IT: VD_GERICHTE JS18.017723 del 13 novembre 2018</w:t>
      </w:r>
    </w:p>
    <w:p>
      <w:pPr>
        <w:pStyle w:val="Heading2"/>
      </w:pPr>
      <w:r>
        <w:t>Erwägungen</w:t>
      </w:r>
    </w:p>
    <w:p>
      <w:r>
        <w:rPr>
          <w:b/>
        </w:rPr>
        <w:t>E. 1</w:t>
      </w:r>
    </w:p>
    <w:p>
      <w:r>
        <w:t>a) Les époux A.Q.________ (ci-après : l’intimé), né le [...] 1971, et B.Q.________ (ci-après : la requérante), née [...] le [...] 1971, se sont mariés le [...] 2002 à [...]. Un enfant est issu de cette union : T.________, né le [...] 2002. L’intimé est également le père d’un enfant majeur issu d’une précédente union, B.________, né le [...] 1999. b) Les parties se sont séparées dans le courant du mois d’avril 2014. En raison d’importants problèmes de santé rencontrés par la requérante dans le courant de l’année 2014, les parties ont exercé depuis leur séparation et dans les faits une garde alternée sur l’enfant T.________, soit alternativement chez la requérante et chez l’intimé à raison d’une semaine sur deux.</w:t>
      </w:r>
    </w:p>
    <w:p>
      <w:r>
        <w:rPr>
          <w:b/>
        </w:rPr>
        <w:t>E. 1.1</w:t>
      </w:r>
    </w:p>
    <w:p>
      <w:r>
        <w:t>Selon l’art. 318 al. 1 let. c ch. 2 CPC, l'instance d'appel peut renvoyer la cause à la première instance lorsque l’état de fait doit être complété sur des points essentiels (cf. également ATF 138 III 374 consid. 4.3.2 in fine; TF 5A_939/2012 du 8 mars 2013 consid. 4.2.1). Dans ce cas de figure, la juridiction de première instance rendra une nouvelle décision, mais demeurera liée par les considérants de l’arrêt lui ayant renvoyé la cause (Jeandin, CPC commenté, Bâle 2011, n. 4 ad art. 318 CPC ; Colombini, Code de procédure civile, Condensé de la jurisprudence fédérale et vaudoise, Lausanne 2018, n. 2.3.4.2 ad art. 318 CPC).</w:t>
      </w:r>
    </w:p>
    <w:p>
      <w:r>
        <w:rPr>
          <w:b/>
        </w:rPr>
        <w:t>E. 1.2</w:t>
      </w:r>
    </w:p>
    <w:p>
      <w:r>
        <w:t>A.Q.________ allègue, pour la première fois dans son appel du 18 septembre 2018, que lors du séjour de l'enfant chez lui au mois de septembre 2018, celui-ci aurait révélé à son père que l'intimée s'alcooliserait très souvent, rentrant dans son logement sous l'influence de l'alcool ou alors s'alcoolisant une fois son domicile regagné, qu'elle entrerait dans la chambre de son fils en étant fortement alcoolisée et qu'elle serait ponctuellement verbalement agressive à son égard. L'appelant ajoute que l'enfant n'avait jusqu'à présent pas été aussi clair à cet égard, en raison de craintes formulées quant à un état suicidaire de l'intimée exprimée par cette dernière. L’appelant requiert du juge d'appel l'audition de l'enfant, afin qu’il se détermine sur l’attribution du droit de garde et sur le droit de visite. Il s'agit là d'un fait essentiel soulevé pour la première fois en appel, qui ne trouve donc aucune assise dans le dossier. Aussi, l'enfant n'a jamais fait l'objet d'une audition à ce jour durant la procédure, ni par le premier juge – qui n'avait aucune raison de le faire – ni par un autre intervenant (notamment pédopsychiatre, Service de Protection de la Jeunesse). Or il se justifie, dans l'intérêt primordial de l'enfant – qui a dans</w:t>
      </w:r>
    </w:p>
    <w:p>
      <w:r>
        <w:t>- 8 - l'intervalle achevé sa scolarité obligatoire – et eu égard aux éventuelles conséquences de son audition sur la situation familiale dans son ensemble, de ne pas entreprendre cette audition pour la première fois à ce stade, mais de renvoyer le dossier au premier juge pour qu'il procède à l'instruction de ce fait essentiel par tous les moyens qui lui apparaîtront appropriés, notamment par l'audition de l'enfant et/ou, le cas échéant, par des mesures de protection de l'enfant (art. 307 ss CC), puis qu'il statue à nouveau notamment sur la question de la garde alternée (cf. Colombini, op. cit., n. 2.3.1 ad art. 318 CPC). Par conséquent, l’appel d’A.Q.________ est admis en ce sens que l’ordonnance entreprise est annulée et que la cause est renvoyée au premier juge pour nouvelle décision dans le sens des considérants qui précèdent et, s’agissant de la requête de provisio ad litem, dans le sens du considérant 3.2.1.3 qui suit. 2. B.Q.________ a retiré purement et simplement son appel le 1er novembre 2018. Il convient d’en prendre acte et de rayer la cause du rôle (art. 241 al. 3 CPC).</w:t>
      </w:r>
    </w:p>
    <w:p>
      <w:r>
        <w:rPr>
          <w:b/>
        </w:rPr>
        <w:t>E. 2</w:t>
      </w:r>
    </w:p>
    <w:p>
      <w:r>
        <w:t>a) Par requête du 25 avril 2018, la requérante a en particulier conclu, à titre de mesures protectrices de l’union conjugale, à ce que la garde sur l’enfant T.________ soit « attribuée alternativement à B.Q.________ et à A.Q.________ du lundi au lundi suivant, à raison d’une semaine sur deux » et à ce qu’A.Q.________ doive verser à B.Q.________ une</w:t>
      </w:r>
    </w:p>
    <w:p>
      <w:r>
        <w:t>- 6 - provisio ad litem de 3'500 francs. Subsidiairement à cette dernière conclusion, B.Q.________ a requis le bénéfice de l’assistance judiciaire. b) Par procédé écrit du 28 mai 2018, l’intimé a conclu notamment, par voie de mesures protectrices de l’union conjugale, à ce que la garde sur l’enfant T.________ soit attribuée alternativement aux parties, une semaine sur deux. c) Le président a tenu une audience de mesures protectrices de l’union conjugale le 30 mai 2018 en présence des parties, assistées de leur conseil respectif.</w:t>
      </w:r>
    </w:p>
    <w:p>
      <w:r>
        <w:rPr>
          <w:b/>
        </w:rPr>
        <w:t>E. 3</w:t>
      </w:r>
    </w:p>
    <w:p>
      <w:r>
        <w:t>a) A partir du 25 janvier 2018, l’état de santé de la requérante, qui présente un syndrome dépressif sévère, a nécessité plusieurs arrêts maladie qui se sont succédés, sans toutefois être continus. Elle est par ailleurs régulièrement suivie par le Service d’oncologie médicale du CHUV depuis le mois de juillet 2014 à la suite d’un cancer du sein. Des démarches auprès de l’assurance-invalidité semblent être envisagées. b) Selon les déclarations de l’intimé dans son appel, lors d’un séjour de l’enfant chez son père en septembre 2018, T.________ lui aurait indiqué que B.Q.________ s’alcooliserait très souvent, qu’elle rentrerait chez elle sous l’influence de l’alcool ou qu’elle s’alcooliserait une fois rentré, qu’elle entrerait de manière inopinée dans sa chambre en étant fortement alcoolisée et qu’elle serait ponctuellement agressive verbalement à son égard. Selon l’intimé, T.________ n’aurait pas osé en parler parce qu’il craignait un éventuel état suicidaire chez sa mère qui lui aurait dit qu’elle pourrait passer à l’acte. Dans sa réponse, la requérante a nié la véracité des éléments rapportés par l’intimé. Elle a en outre indiqué que T.________ avait terminé sa scolarité obligatoire avec de bons résultats, qu’il suivrait actuellement des cours en vue de débuter une formation professionnelle et qu’il aurait, dans ce cadre, débuté un stage d’une semaine au sein d’un magasin de sports le 29 octobre 2018.</w:t>
      </w:r>
    </w:p>
    <w:p>
      <w:r>
        <w:t>- 7 - En d roit : 1.</w:t>
      </w:r>
    </w:p>
    <w:p>
      <w:r>
        <w:rPr>
          <w:b/>
        </w:rPr>
        <w:t>E. 3.1</w:t>
      </w:r>
    </w:p>
    <w:p>
      <w:r>
        <w:t>supra).</w:t>
      </w:r>
    </w:p>
    <w:p>
      <w:r>
        <w:rPr>
          <w:b/>
        </w:rPr>
        <w:t>E. 3.2.1</w:t>
      </w:r>
    </w:p>
    <w:p>
      <w:r>
        <w:t>On examinera en premier lieu la répartition des frais dans la procédure d’appel d’A.Q.________ (JS18.017723-181422). Il convient de relever que le premier juge avait notamment considéré dans son ordonnance que la situation des parties était favorable, que la requérante accusait un manco, que l’excédent devait être réparti entre les époux, mais qu’il se justifiait de refuser à B.Q.________ la provisio ad litem sollicitée. Il lui incombera de réexaminer dans le cadre du renvoi la question de l'octroi de la provisio ad litem conformément aux principes prévalant en la matière, singulièrement la subsidiarité de l'AJ par rapport à la provisio ad litem.</w:t>
      </w:r>
    </w:p>
    <w:p>
      <w:r>
        <w:rPr>
          <w:b/>
        </w:rPr>
        <w:t>E. 3.2.1.1</w:t>
      </w:r>
    </w:p>
    <w:p>
      <w:r>
        <w:t>B.Q.________ a requis l'assistance judiciaire pour la réponse déposée dans la procédure d'appel d’A.Q.________ (JS18.017723-181422). Les conditions fixées par l’art. 117 CPC sont réalisées à ce stade de la procédure, de sorte que l’assistance judiciaire peut lui être octroyée pour cette procédure, soit pour les opérations dès le 18 octobre 2018 qui sont en lien avec sa réponse, auxquelles on ajoutera la préparation antérieure de la requête d’assistance judiciaire, Me Romain Deillon étant désigné comme son conseil d’office. B.Q.________ sera par ailleurs astreinte à verser une franchise mensuelle de 50 fr., dès et y compris le 1er décembre 2018, en mains du Service juridique et législatif du Canton de Vaud, en application de l’art. 123 CPC (art. 5 RAJ [Règlement sur l’assistance judiciaire en matière civile, RSV 211.02.3]).</w:t>
      </w:r>
    </w:p>
    <w:p>
      <w:r>
        <w:rPr>
          <w:b/>
        </w:rPr>
        <w:t>E. 3.2.1.2</w:t>
      </w:r>
    </w:p>
    <w:p>
      <w:r>
        <w:t>L'issue de la procédure au fond – soit de la procédure de mesures protectrices – restant ouverte, il y a lieu de répartir par moitié les frais judiciaires de deuxième instance dans l’appel [...] (JS18.017723- 181422), arrêtés à 600 fr. (art. 65 al. 2 TFJC [tarif des frais judiciaires civils du 28 septembre 2010 ; RSV 270.11.5]), à raison de 300 fr. pour l’appelant et de 300 fr. laissés provisoirement à la charge de l’Etat pour l’intimée qui est au bénéfice de l’assistance judiciaire. Il se justifie de faire supporter en</w:t>
      </w:r>
    </w:p>
    <w:p>
      <w:r>
        <w:t>- 10 - l’espèce les frais de 200 fr. pour la mesure superprovisionnelle intégralement à A.Q.________ (art. 60 al. 1 TFJC et 107 al. 1 let. c CPC). Il n’y a pas lieu d’allouer des dépens pour cette procédure d'appel (consid.</w:t>
      </w:r>
    </w:p>
    <w:p>
      <w:r>
        <w:rPr>
          <w:b/>
        </w:rPr>
        <w:t>E. 3.2.1.3</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2e éd. 2013, n.</w:t>
      </w:r>
    </w:p>
    <w:p>
      <w:r>
        <w:rPr>
          <w:b/>
        </w:rPr>
        <w:t>E. 3.2.2</w:t>
      </w:r>
    </w:p>
    <w:p>
      <w:r>
        <w:t>S’agissant de l’appel de B.Q.________ (JS18.017723-181424), les frais judiciaires de deuxième instance, d’un montant de 600 fr. (art. 65 al. 2 TFJC), doivent être réduits de deux tiers à 200 fr. (art. 67 al. 1 TFJC) et mis à la charge de l’appelante, qui a retiré son appel. Au demeurant, dès lors que son appel, dont la seule question litigieuse était le dies a quo de la contribution d’entretien, était dépourvu de toutes chances de succès au vu de la jurisprudence en la matière, la requête d’assistance judiciaire, dont le sort avait été réservé, doit être rejetée. Il n’y a pas lieu à l’allocation de dépens, A.Q.________ n’ayant pas été invité à déposer une réponse. Par ces motifs, la Juge déléguée de la Cour d’appel civile prononce : I. L’appel d’A.Q.________ (JS18.017723-181422) est admis. II. L'ordonnance est annulée et la cause est renvoyée au Président du Tribunal d'arrondissement de la Broye et du Nord vaudois pour nouvelle instruction et nouvelle décision dans le sens des considérants.</w:t>
      </w:r>
    </w:p>
    <w:p>
      <w:r>
        <w:t>- 12 - III. La requête d'assistance judiciaire de l'intimée B.Q.________, née [...] est admise pour la procédure d'appel JS18.017723- 181422, Me Romain Deillon étant désigné comme son conseil d'office et l'intimée étant astreinte au versement d'une franchise mensuelle de 50 fr. (cinquante francs), dès le 1er décembre 2018, au Service juridique et législatif du Canton de Vaud, à Lausanne. IV. Les frais judiciaires afférents à l'appel d’A.Q.________, arrêtés à 600 fr. (six cents francs), sont mis par 300 fr. (trois cents francs) à la charge de l'appelant A.Q.________ et par 300 fr. (trois cents francs) à la charge de l’intimée B.Q.________, née [...], mais laissés provisoirement à la charge de l'Etat s'agissant de l'intimée. V. Les frais judiciaires afférents à la décision de mesures superprovisionnelles du 26 septembre 2018, arrêtés à 200 fr. (deux cents francs), sont mis à la charge de l'appelant A.Q.________. VI. L'indemnité de Me Romain Deillon, conseil d'office de B.Q.________, née [...], est arrêtée à 1'306 fr. 80 (mille trois cent six francs et huitante centimes), débours et TVA compris. VII. La bénéficiaire de l'assistance judiciaire est, dans la mesure de l'art. 123 CPC, tenue au remboursement des frais judiciaires et de l'indemnité au conseil d'office mis à la charge de l'Etat. VIII. Il n’est pas alloué de dépens. IX. Il est pris acte du retrait de l’appel JS18.017723-181424 de B.Q.________, née [...]. X. La requête d’assistance judiciaire afférente à l’appel de B.Q.________, née [...], est rejetée.</w:t>
      </w:r>
    </w:p>
    <w:p>
      <w:r>
        <w:t>- 13 - XI. Les frais judiciaires de deuxième instance afférents à l’appel de B.Q.________, née Bopp, arrêtés à 200 fr. (deux cents francs), sont mis à la charge de l’appelante. XII. La cause JS18.017723-181424 est rayée du rôle. XIII. L’arrêt est exécutoire. La juge déléguée : Le greffier : Du Le présent arrêt, dont la rédaction a été approuvée à huis clos, est notifié en expédition complète à : - Me Benjamin Schwab (pour A.Q.________), - Me Romain Deillon (pour B.Q.________),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consid. 3a). Le temps consacré à la défense des intérêts du client et les actes effectués ne peuvent pas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(ATF 122 I 1 consid. 3a précité ; ATF 117 la 22 précité consid. 4c et les réf. cit.). En l’espèce, le conseil de B.Q.________ a chiffré à 8.4 heures le temps consacré à la réponse à l’appel d’A.Q.________ (JS18.017723- 181422), y compris la préparation de la requête d’assistance judiciaire. Le temps indiqué à 1.5 heures pour l’entretien avec la cliente est excessif, dès lors que le conseil d’office connaissait déjà le dossier, d’une part, et compte tenu de la conférence téléphonique de 0.2 heures, d’autre part, de sorte qu’il convient de réduire ce poste à 0.2 heures. De même, le temps relatif à la rédaction de la réponse et à ses modifications totalise 5.5 heures, ce qui ne se justifie pas au regard de la relative simplicité de la</w:t>
      </w:r>
    </w:p>
    <w:p>
      <w:r>
        <w:t>- 11 - cause, de sorte qu’il faut le réduire à 5.1 heures. Aussi, en définitive, la durée d’activité du conseil d’office retenue est de 6.7 heures (8.4 – 1.3 – 0.4). Il s’ensuit qu’au tarif horaire de 180 fr. (art. 2 al. 1 let. a RAJ), l’indemnité de Me Deillon doit être fixée à 1'206 fr. (6.7 x 180 fr.), montant auquel s’ajoutent des débours par 7 fr. 40, ainsi qu’une TVA à 7.7% sur l’ensemble, soit 93 fr. 40 (7.7% x 1'213 fr. 40), pour un total de 1'306 fr. 80.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