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JS18.013285 vom 25. Juli 2018</w:t>
      </w:r>
    </w:p>
    <w:p>
      <w:r>
        <w:t>VD Tribunal cantonal, 2018-07-25, FR</w:t>
      </w:r>
    </w:p>
    <w:p>
      <w:r>
        <w:rPr>
          <w:b/>
        </w:rPr>
        <w:t xml:space="preserve">Quelle: </w:t>
      </w:r>
      <w:r>
        <w:t>https://mcp.opencaselaw.ch/entscheid/vd_gerichte_JS18.013285</w:t>
      </w:r>
    </w:p>
    <w:p>
      <w:r>
        <w:t>FR: VD_GERICHTE JS18.013285 du 25 juillet 2018</w:t>
      </w:r>
    </w:p>
    <w:p>
      <w:r>
        <w:t>IT: VD_GERICHTE JS18.013285 del 25 luglio 2018</w:t>
      </w:r>
    </w:p>
    <w:p>
      <w:pPr>
        <w:pStyle w:val="Heading2"/>
      </w:pPr>
      <w:r>
        <w:t>Erwägungen</w:t>
      </w:r>
    </w:p>
    <w:p>
      <w:r>
        <w:rPr>
          <w:b/>
        </w:rPr>
        <w:t>E. 3.1</w:t>
      </w:r>
    </w:p>
    <w:p>
      <w:r>
        <w:t>L’appelant reproche au premier juge d’avoir omis le fait que l’appelant fait ménage commun avec ses deux enfants mineurs d’une seconde union, ce qui justifierait, pour des raisons d’équité entre la fratrie, de réduire la contribution en faveur de l’intimée.</w:t>
      </w:r>
    </w:p>
    <w:p>
      <w:r>
        <w:rPr>
          <w:b/>
        </w:rPr>
        <w:t>E. 3.1.2</w:t>
      </w:r>
    </w:p>
    <w:p>
      <w:r>
        <w:t>; ATF 135 III 66).</w:t>
      </w:r>
    </w:p>
    <w:p>
      <w:r>
        <w:rPr>
          <w:b/>
        </w:rPr>
        <w:t>E. 3.2.1</w:t>
      </w:r>
    </w:p>
    <w:p>
      <w:r>
        <w:t>Aux termes de l'art. 276 al. 1 CC, les père et mère doivent pourvoir à l’entretien de l’enfant et assumer, par conséquent, les frais de son éducation, de sa formation et des mesures prises pour le protéger. L’art. 285 al. 1 CC dispose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(ATF 120 II 285 consid. 3a/cc ; TF 5A_936/2012 du 23 avril 2013 consid. 2.1 ; TF 5A_386/2012 du 23 juillet 2012 consid. 4.2.1 et réf. ; TF 5A_402/2010 du 10 septembre 2010). L’obligation d’entretien trouve sa limite dans la capacité contributive du débirentier, en ce sens que le minimum vital de celui-ci doit être préservé (TF 5A_634/2013 du 12 mars 2014 consid.</w:t>
      </w:r>
    </w:p>
    <w:p>
      <w:r>
        <w:rPr>
          <w:b/>
        </w:rPr>
        <w:t>E. 3.2.2</w:t>
      </w:r>
    </w:p>
    <w:p>
      <w:r>
        <w:t>Selon l'art. 286 al. 2 CC, applicable par le renvoi de l'art. 134 al. 2 CC, si la situation change notablement, le père, la mère ou l'enfant peuvent demander au juge de modifier ou supprimer la contribution d'entretien.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w:t>
      </w:r>
    </w:p>
    <w:p>
      <w:r>
        <w:t>- 8 - premier jugement mais de l'adapter aux circonstances nouvelles survenues chez les parents ou chez l'enfant (TF 5A_677/2016 du 16 février 2017 consid. 2.1.1 ; ATF 137 III 604 consid. 4.1.1 ; ATF 131 III 189 consid. 2.7.4 ; ATF 120 II 177 consid. 3a).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131 III 189 consid. 2.7.4 ; ATF 128 III 305 consid. 5b ; TF 5A_677/2016 du 16 février 2017 consid. 2.1.1 ; TF 5A_842/2015 du 26 mai 2016 consid. 2.4.1).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5A_260/2016 du 14 octobre 2016 consid. 2.1.1 ; TF 5A_224/2016 du 13 juin 2016 consid. 3.1).</w:t>
      </w:r>
    </w:p>
    <w:p>
      <w:r>
        <w:rPr>
          <w:b/>
        </w:rPr>
        <w:t>E. 3.2.3</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w:t>
      </w:r>
    </w:p>
    <w:p>
      <w:r>
        <w:t>- 9 - exclure la possibilité qu’il ait pu se dérouler autrement (Bohnet, CPC commenté, 2011, n. 4 ad art. 261 CPC et les réf. citées).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Ce préjudice doit être mis en balance avec le préjudice que subirait le créancier d'entretien, défendeur au procès en modification, en cas d'octroi des mesures provisionnelles sollicitées (Bohnet, CPC commenté, op. cit., n. 14 et 17 ad art. 261 CPC). Comme pour toutes les mesures provisionnelles, le juge doit pondérer le droit présumé du requérant à la mesure conservatoire avec les conséquences irréparables que celle-ci peut entraîner pour l'intimé (cf. ATF 131 III 473 consid. 2.3 ; Juge délégué CACI 30 septembre 2016/540 ; Juge délégué CACI</w:t>
      </w:r>
    </w:p>
    <w:p>
      <w:r>
        <w:rPr>
          <w:b/>
        </w:rPr>
        <w:t>E. 3.3</w:t>
      </w:r>
    </w:p>
    <w:p>
      <w:r>
        <w:t>En l’espèce, l’appelant ne fait valoir aucune modification substantielle de circonstances depuis le jugement du 6 décembre 2007 qui justifierait de réexaminer la contribution d’entretien due à l’intimée. Le fait que l’appelant partage le domicile de ses deux enfants d’une seconde union ne constitue pas une nouvelle circonstance puisque [...] était né avant que le jugement de décembre 2007 soit rendu, tandis</w:t>
      </w:r>
    </w:p>
    <w:p>
      <w:r>
        <w:t>- 10 - que [...] était né avant la date de l’arrêt du Tribunal cantonal de Bâle- Campagne. Aucun fait nouveau n’étant apparu, les conditions de l’art. 286 al. 2 CC ne sont pas réalisées. Par surabondance, l’appelant ne démontre pas que le versement de la pension de 500 fr. durant la procédure lui causerait un préjudice tel qu’il l’emporterait sur l’intérêt de l’enfant au maintien de cette contribution jusqu’au jugement au fond. Dans tous les cas, compte tenu des principes exposés ci- dessus, une diminution de la contribution d’entretien due à l’enfant ne doit pas être admise au stade des mesures provisionnelles. 4. En définitive, l’appel du requérant doit être rejeté et l’ordonnance entreprise confirmée. Les frais judiciaires de deuxième instance, arrêtés à 600 fr. (art. 63 al. 1 TFJC [tarif des frais judiciaires civils du 28 septembre 2010 ; RSV 270.11.5] par renvoi de l’art. 65. al. 2 TFJC), sont mis à la charge de l’appelant, qui succombe (art. 106 al. 1 CPC). En outre, l’appel étant d’emblée dénué de chances de succès, la requête d’assistance judiciaire sera rejetée (art. 117 let. b CPC). Il n’y a au surplus pas lieu à l’allocation de dépens, l’intimée n’ayant pas été invitée à se déterminer.</w:t>
      </w:r>
    </w:p>
    <w:p>
      <w:r>
        <w:t>- 11 - Par ces motifs, le juge délégué de la Cour d’appel civile prononce : I. L’appel est rejeté. II. L’ordonnance est confirmée. III. La requête d’assistance judiciaire de l’appelant X.________ est rejetée. IV. Les frais judiciaires de deuxième instance, arrêtés à 600 fr. (six cents francs), sont mis à la charge de X.________. V. Il n’y a pas lieu à l’allocation de dépens. VI. L’arrêt est exécutoire. Le juge délégué : Le greffier : Du Le présent arrêt, dont la rédaction a été approuvée à huis clos, est notifié en expédition complète à : - Me Jean-Pierre Bloch (pour X.________), - Mme C.________, et communiqué, par l'envoi de photocopies, à : - M. le Président du Tribunal civil de l’arrondissement de Lausanne.</w:t>
      </w:r>
    </w:p>
    <w:p>
      <w:r>
        <w:t>- 12 -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août 2013/391 ; Juge délégué CACI 6 juillet 2012/316). Des mesures provisionnelles ne peuvent être ordonnées que si elles répondent à l’intérêt de l’enfant. Une réduction de la contribution d’entretien due à l’enfant ne satisfait pas à cette dernière condition et ne peut donc pas être prononcée par voie de mesures provisionnelles. Cela vaut même si le débirentier invoque une atteinte à son minimum vital en cas de maintien de la situation, car cette éventuelle atteinte ne revêtirait qu’un caractère provisoire (FamPra.ch 2009 p. 777 n. 75 consid. 8 et 9 ; De Luze/Page/Stoudmann, Droit de la famille, Lausanne 2013, n. 1.16 ad art. 286 CC ; cf. CREC 7 octobre 2014/349).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