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JS17.053657 vom 12. Oktober 2018</w:t>
      </w:r>
    </w:p>
    <w:p>
      <w:r>
        <w:t>VD Tribunal cantonal, 2018-10-12, FR</w:t>
      </w:r>
    </w:p>
    <w:p>
      <w:r>
        <w:rPr>
          <w:b/>
        </w:rPr>
        <w:t xml:space="preserve">Quelle: </w:t>
      </w:r>
      <w:r>
        <w:t>https://mcp.opencaselaw.ch/entscheid/vd_gerichte_JS17.053657</w:t>
      </w:r>
    </w:p>
    <w:p>
      <w:r>
        <w:t>FR: VD_GERICHTE JS17.053657 du 12 octobre 2018</w:t>
      </w:r>
    </w:p>
    <w:p>
      <w:r>
        <w:t>IT: VD_GERICHTE JS17.053657 del 12 ottobre 2018</w:t>
      </w:r>
    </w:p>
    <w:p>
      <w:pPr>
        <w:pStyle w:val="Heading2"/>
      </w:pPr>
      <w:r>
        <w:t>Erwägungen</w:t>
      </w:r>
    </w:p>
    <w:p>
      <w:r>
        <w:rPr>
          <w:b/>
        </w:rPr>
        <w:t>E. 2</w:t>
      </w:r>
    </w:p>
    <w:p>
      <w:r>
        <w:t>juillet 2018 consid. 4.2.1 et les références citées). 2.2.2 En l’espèce, la présente cause est soumise à la maxime inquisitoire illimitée, dès lors qu’elle concerne le montant de la contribution d’entretien due en faveur d’un enfant mineur. Partant, les pièces produites par l’intimé à l’appui de sa réponse – soit les preuves des recherches d’emploi qu’il a effectuées entre janvier et août 2018 – sont recevables, indépendamment de la question de savoir si leur production respecte les conditions de l’art. 317 al. 1 CPC.</w:t>
      </w:r>
    </w:p>
    <w:p>
      <w:r>
        <w:rPr>
          <w:b/>
        </w:rPr>
        <w:t>E. 3.1</w:t>
      </w:r>
    </w:p>
    <w:p>
      <w:r>
        <w:t>A l’appui de son appel, l’appelante reproche principalement au premier juge de ne pas avoir imputé un revenu hypothétique à l’intimé pour calculer la contribution d’entretien due par celui-ci en faveur de l’enfant R.________, alors même qu’un tel revenu avait été pris en compte dans l’ordonnance de mesures protectrices de l’union conjugale du 26 juin 2017.</w:t>
      </w:r>
    </w:p>
    <w:p>
      <w:r>
        <w:t>- 12 - Pour sa part, l’intimé fait valoir, en substance, que sa situation financière a drastiquement changé en raison de son licenciement et du fait qu’il est actuellement au chômage ; partant, ce serait à bon droit que le premier juge aurait réexaminé le montant de la contribution d’entretien mise à sa charge par l’ordonnance de mesures protectrices de l’union conjugale du 26 juin 2017, en tenant compte de ces circonstances nouvelles. Il conteste en outre que les conditions permettant de lui imputer un revenu hypothétique seraient réalisées, au motif qu’il aurait démontré rechercher activement un emploi à 100%. A cet égard, il relève notamment qu’en plus de bénéficier de prestations de l’assurance- chômage, il se serait inscrit dans deux agences de placement et se réfère aux preuves de recherches d’emploi produites à l’appui de sa réponse, attestant selon lui de ses efforts pour retrouver un travail à plein temps.</w:t>
      </w:r>
    </w:p>
    <w:p>
      <w:r>
        <w:rPr>
          <w:b/>
        </w:rPr>
        <w:t>E. 3.2</w:t>
      </w:r>
    </w:p>
    <w:p>
      <w:r>
        <w:t>Une fois que des mesures protectrices de l’union conjugale ont été ordonnées, elles ne peuvent être modifiées qu’aux conditions de l’art. 179 CC. Aux termes de l’art. 179 al. 1 1ère phrase CC, le juge ordonne les modifications commandées par les faits nouveaux et rapporte les mesures prises lorsque les causes qui les ont déterminées n’existent plus. Ces mesures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de mesures protectrices s’est révélée par la suite injustifiée parce que le juge appelé à statuer n’a pas eu connaissance de faits importants (TF 5A_329/2016 du 6 décembre 2016 consid. 3.1 ; TF 5A_235/2016 du 15 août 2016 consid. 3.1).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5A_329/2016</w:t>
      </w:r>
    </w:p>
    <w:p>
      <w:r>
        <w:t>- 13 - précité; TF 5A_138/2015 du 1er avril 2015 consid. 3.1), car la procédure de modification n'a pas pour but de corriger le premier jugement, mais de l'adapter aux circonstances nouvelles ; le moment déterminant pour apprécier si des circonstances nouvelles se sont produites est la date du dépôt de la demande de modification (ATF 137 III 604 consid. 4.1.1 ; TF 5A_329/2016 précité).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(sur le tout : TF 5A_787/2017 du 28 novembre 2017 consid. 5.1).</w:t>
      </w:r>
    </w:p>
    <w:p>
      <w:r>
        <w:rPr>
          <w:b/>
        </w:rPr>
        <w:t>E. 3.3</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rPr>
          <w:b/>
        </w:rPr>
        <w:t>E. 3.4</w:t>
      </w:r>
    </w:p>
    <w:p>
      <w:r>
        <w:t>En l'espèce, l'intimé, qui est sans formation, a uniquement entrepris des recherches de postes d’aide de cuisine. A l'exception de contacts avec deux agences de placement en novembre 2017, il résulte des offres d'emploi produites – notamment de celles relatives à l’année 2018 – qu'il effectue régulièrement dix recherches d'emploi par mois, soit</w:t>
      </w:r>
    </w:p>
    <w:p>
      <w:r>
        <w:t>- 16 - le minimum exigé par l'assurance-chômage, par des visites spontanées dans des restaurants. De telles recherches – qui ne concernent pas des postes concrets mis sur le marché – n'ont que des chances très limitées d'aboutir. L'intimé n'établit notamment pas qu'il aurait répondu à des offres concrètes d'emploi ou se serait inscrit sur des sites comme « jobup » et effectuerait des postulations à de telles offres concrètes auprès de ces sites. Les recherches effectuées sont d'une qualité insuffisante, au vu de la jurisprudence stricte en la matière. En outre, on pourrait attendre de l'intimé qu'il étende ses recherches à d'autres types d'emploi ne nécessitant aucune formation, par exemple dans le domaine de la construction, voire en qualité "d'homme à tout faire" comme il l'admet lui-même dans sa réponse. Le fait que, pendant la vie commune, l'intimé a principalement travaillé à 50% ou été au chômage n'exclut pas de retenir qu'il lui importe d'épuiser désormais entièrement sa capacité contributive, afin de subvenir aux besoins de son fils, de sorte que l'on peut exiger de lui qu'il ait un emploi à plein temps. Cela a déjà été reconnu dans l’ordonnance de mesures protectrices de l’union conjugale du 26 juin 2017, sans que cela ne soit contesté et il ne saurait être revenu sur ce point dans le cadre de la présente procédure de modification, qui a pour but d'adapter les mesures aux circonstances nouvelles et non pas de corriger ladite ordonnance (cf. supra consid. 3.2). Dans un emploi comme aide de cuisine sans formation à plein temps, l'intimé pourrait réaliser un salaire minimal de 3'435 fr. brut selon l'art. 10 CCNT (Convention collective nationale de travail pour les hôtels, restaurants et cafés), soit de l'ordre de 3'000 fr. net par mois. On relèvera en outre que selon le calculateur individuel de salaire (2014) de l’Office fédéral de la statistique (« Salarium »), la valeur médiane brute (Cat. C) correspondant au profil salarial de l’intimé (région lémanique, sans fonction de cadre, horaire hebdomadaire de 40 heures, sans formation professionnelle complète, 58 ans, 0 année de service, entreprise de 50 employés et plus, 12 salaires mensuels) se situe, à titre d’exemple, à 4'814 fr. brut par mois pour un poste de manoeuvre dans le domaine de la</w:t>
      </w:r>
    </w:p>
    <w:p>
      <w:r>
        <w:t>- 17 - construction de bâtiment ou à 3'807 fr. brut par mois pour un poste d’aide de ménage dans le domaine de la restauration. Au vu de ces éléments, il apparaît adéquat d’imputer à l’intimé un revenu hypothétique d’au moins 3'000 fr. net par mois. Cela étant, l’intimé présente un disponible de 1'224 fr. par mois après déduction de ses charges, lesquelles ont été arrêtées par le premier juge à 1'776 fr. 05 et peuvent être confirmées à hauteur de ce montant, celui-ci n’étant pas contesté (3'000 fr. – 1'776 fr.).</w:t>
      </w:r>
    </w:p>
    <w:p>
      <w:r>
        <w:rPr>
          <w:b/>
        </w:rPr>
        <w:t>E. 4</w:t>
      </w:r>
    </w:p>
    <w:p>
      <w:r>
        <w:t>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w:t>
      </w:r>
    </w:p>
    <w:p>
      <w:r>
        <w:t>- 14 -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(ci-après : OFS), ou sur d'autres sources (conventions collectives de travail par exemple ;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w:t>
      </w:r>
    </w:p>
    <w:p>
      <w:r>
        <w:t>- 15 - peut notamment se voir imputer un revenu basé sur une profession qu'il n'aurait pas eu à accepter selon les règles prévalant en matière d'assurance sociale (ATF 137 III 118 consid. 3.1, JdT 2011 II 486 ; TF 5A_588/2010 du 12 janvier 2011 consid. 2.3 ; TF 5A_587/2013 du 26 novembre 2013 consid. 6.1.1 ; TF 5A 634/2013 du 12 mars 2014 consid. 3.1.1 ; TF 5A 400/2017 du 11 août 2017 consid. 3.3.1, FamPra.ch 2017 p. 1083).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FamPra.ch 2012 p. 500 ; TF 5A_99/2011 du 26 septembre 2011 consid. 7.4.2 ; TF 5A_724/2009 du 26 avril 2010 consid. 5.3, FamPra.ch 2010 673 ; TF 5A 891/2013 du 12 mars 2014 consid. 4.1.2, FamPra.ch 2014 p. 748 ; TF 5A 256/2015 du 13 août 2015 consid. 3.2.2). La production d'offres d'emplois dépourvues de qualité et/ou dans des domaines variés ne correspondant pas à ses propres qualifications ne suffit pas à démontrer l'impossibilité d'exercer une activité professionnelle (TF 5A_879/2011 du 9 mars 2012 consid. 2). De même, il peut être raisonnablement exigé d'un débiteur de contributions d'entretien envers des enfants mineurs qu'il intensifie ses recherches visant des emplois moins qualifiés, quand bien même celui-ci a déjà effectué des recherches en ce sens (TF 5A_634/2013 du 12 mars 2014 consid. 3.2 ; TF 5A_891/2013 du 12 mars 2014 consid. 4.1.2).</w:t>
      </w:r>
    </w:p>
    <w:p>
      <w:r>
        <w:rPr>
          <w:b/>
        </w:rPr>
        <w:t>E. 4.1</w:t>
      </w:r>
    </w:p>
    <w:p>
      <w:r>
        <w:t>La contribution d'entretien doit correspondre aux besoins de l'enfant ainsi qu'à la situation et aux ressources de ses père et mère ; il est tenu compte de la fortune et des revenus de l'enfant (art. 285 al. 1 CC). La contribution d'entretien sert aussi à garantir la prise en charge de l'enfant par les parents et les tiers (art. 285 al. 2 CC).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concernant la révision du code civil suisse [Entretien de l'enfant] du 29 novembre 2013, FF 2014 511 [ci-après :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La loi ne prescrit pas de méthode de calcul particulière pour arrêter la contribution d’entretien en faveur de l’enfant (ATF 128 III 411</w:t>
      </w:r>
    </w:p>
    <w:p>
      <w:r>
        <w:t>- 18 - consid. 3.2.2). La doctrine préconise toutefois de procéder d'abord au calcul des coûts directs de l'enfant, puis de déterminer le minimum vital du parent gardien. Si ce parent accuse un déficit, celui-ci devra être réparti entre les enfants et constituera la contribution de prise en charge (Juge délégué CACI 28 mars 2017/128 consid. 3.1 et les références citées ; Guillod, La détermination de l'entretien de l'enfant, in Le nouveau droit de l'entretien de l'enfant et du partage de la prévoyance, Bâle 2016, n. 46 ss et les références citées ; Stoudmann, Le nouveau droit de l'entretien de l'enfant en pratique : ce qui change et ce qui reste, in RMA 6/2016 pp. 427 ss, spéc. p. 434). L'addition des coûts directs de l'enfant – éventuellement pondérés en fonction de la prise en charge effective de chaque parent – et de la contribution de prise en charge constituera le montant dû au titre de contribution d'entretien pour l'enfant. Ladite contribution ne doit toutefois pas dépasser les limites de la capacité contributive économique du parent débirentier, dont le minimum vital au sens du droit des poursuites doit être préservé (FF 2014 pp. 541ss ; ATF 137 III 59, JdT 2011 II 359 consid. 4.2.1 ; TF 5A_634/2013 du 12 mars 2014 consid. 3.1.2).</w:t>
      </w:r>
    </w:p>
    <w:p>
      <w:r>
        <w:rPr>
          <w:b/>
        </w:rPr>
        <w:t>E. 4.2</w:t>
      </w:r>
    </w:p>
    <w:p>
      <w:r>
        <w:t>En l’espèce, tout en mentionnant que l'appelante avait décidé unilatéralement au moment de la séparation de réduire son taux d'activité à 60% pour s'occuper de son fils, le premier juge a admis que l'enfant étant âgé de cinq ans, on ne saurait imposer à l’appelante de reprendre une activité lucrative à un taux plus élevé. Cela n'est pas contesté en appel, de sorte qu’il n'y a pas lieu d'y revenir. On relèvera d'ailleurs que la précédente ordonnance de mesures protectrices de l’union conjugale avait admis une telle réduction, de sorte que, sous cet angle également, il n'y a pas lieu de revenir sur ce point. Compte tenu de son revenu mensuel net actuel de 1'840 fr. et de ses charges incompressibles – évaluées par le premier juge à 2'653 fr. 10 et incontestées par les parties –, l’appelante présente dès lors un déficit mensuel de 813 fr. 10, qui doit être comblé par l’intimé à titre de contribution de prise en charge. Il convient d’y ajouter les coûts directs de R.________, qui s'élèvent au montant incontesté de 790 fr. 45 par mois. Partant, le montant assurant l'entretien convenable de l'enfant doit être</w:t>
      </w:r>
    </w:p>
    <w:p>
      <w:r>
        <w:t>- 19 - confirmé à hauteur de 1'603 fr. 55 par mois (813 fr. 10 + 790 fr. 45), ce qui n'est pas remis en cause en appel. Toutefois, le minimum vital de l'intimé devant être préservé, on fixera au montant arrondi de 1'200 fr. la contribution d'entretien mensuelle due en faveur de R.________ ; ladite contribution sera modifiée en ce sens dès le mois de mars 2018, ce point n’étant pas contesté en appel.</w:t>
      </w:r>
    </w:p>
    <w:p>
      <w:r>
        <w:rPr>
          <w:b/>
        </w:rPr>
        <w:t>E. 5.1</w:t>
      </w:r>
    </w:p>
    <w:p>
      <w:r>
        <w:t>En conclusion, l’appel doit être partiellement admis et l’ordonnance réformée dans le sens des considérants qui précèdent.</w:t>
      </w:r>
    </w:p>
    <w:p>
      <w:r>
        <w:rPr>
          <w:b/>
        </w:rPr>
        <w:t>E. 5.2</w:t>
      </w:r>
    </w:p>
    <w:p>
      <w:r>
        <w:t>Dès lors qu’aucune partie n'obtient entièrement gain de cause et qu’il s’agit d’une procédure du droit de la famille, les frais judiciaires de deuxième instance, arrêtés à 600 fr. (art. 65 al. 2 TFJC [tarif des frais judiciaires civils du 28 septembre 2010 ; RSV 270.11.5]), seront mis par moitié à la charge de chacune des parties (art. 106 al. 2 et 107 al. 1 let. c CPC). Compte tenu de l’assistance judiciaire accordée à celles-ci, ces frais seront toutefois supportés provisoirement par l’Etat (art. 122 al. 1 let. b CPC).</w:t>
      </w:r>
    </w:p>
    <w:p>
      <w:r>
        <w:rPr>
          <w:b/>
        </w:rPr>
        <w:t>E. 5.3</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RSV 211.02.03]). Me Amélie Giroud, conseil d’office de l’appelante, a produit, le 12 septembre 2018, une liste des opérations indiquant un temps de travail de 3,9 heures relatif à la procédure de deuxième instance et des débours par 38 fr. 80. Compte tenu de la nature de la cause et de ses difficultés en fait</w:t>
      </w:r>
    </w:p>
    <w:p>
      <w:r>
        <w:t>- 20 - et en droit ainsi que des opérations effectuées, en particulier la rédaction d’un mémoire d’appel de six pages, la durée du temps de travail indiquée apparaît adéquate. Au tarif horaire de 180 fr. (art. 2 RAJ), l’indemnité d’office due à Me Amélie Giroud doit ainsi être arrêtée à 702 fr. (3,9 heures x 180 fr.) pour ses honoraires, plus 54 fr. 05 de TVA au taux de 7.7%, et un montant de 41 fr. 80, TVA comprise (au taux de 7.7%) pour ses débours (38 fr. 80 + 3 fr.), soit une indemnité totale de 798 francs. Me Rachel Cavargna-Debluë, conseil d’office de l’intimé, a quant elle produit, le 13 septembre 2018, une liste des opérations indiquant un temps de travail de six heures et cinq minutes relatif à la présente procédure et des débours par 50 fr. 75. Le décompte comprend la rédaction de nombreux courriers au client, à la partie adverse ou à la Cour de céans, invariablement comptabilisés à hauteur de cinq minutes de travail, pour une durée totale de 45 minutes. Au vu de la chronologie des envois, cette activité relève vraisemblablement de la transmission de correspondances. Or s'agissant d’un pur travail de secrétariat, le temps indiqué pour la rédaction de mémos ou d'avis de transmission ne peut être pris en compte à titre d'activité déployée par l'avocat (CREC 6 juin 2017/204 consid. 2.2 ; CREC 14 septembre 2015/332 consid. 3.2). La durée d’une heure indiquée au titre des « opérations post-jugement » apparaît en outre excessive et doit être réduite à trente minutes. En définitive, c’est donc 4h50 de travail qu’il y a lieu de retenir pour la procédure d’appel (6h05 – 45 min. – 30 min.), ce qui au tarif horaire de 180 fr. correspond à une indemnité à titre d’honoraires de 870 fr., à laquelle s’ajoute la TVA (7.7%) par 67 francs. On admettra en outre les débours invoqués à hauteur de 50 fr. 75, TVA comprise, puisque Me Carvagna-Debluë n’a pas justifié ce montant et que l’on ignore s’il inclut ou non la TVA. Par conséquent, l’indemnité d’office globale de Me Rachel Cavargna-Debluë est de 987 fr. 75 (870 fr. + 67 fr. + 50 fr. 75), arrondie à 988 francs. Les bénéficiaires de l’assistance judiciaire sont, dans la mesure de l’art.</w:t>
      </w:r>
    </w:p>
    <w:p>
      <w:r>
        <w:t>- 21 - 123 CPC, tenus au remboursement des frais judiciaires et de l’indemnité à leur conseil d’office mis provisoirement à la charge de l’Etat.</w:t>
      </w:r>
    </w:p>
    <w:p>
      <w:r>
        <w:rPr>
          <w:b/>
        </w:rPr>
        <w:t>E. 5.4</w:t>
      </w:r>
    </w:p>
    <w:p>
      <w:r>
        <w:t>Vu l'issue du litige et dès lors qu’il s’agit d’une procédure du droit de la famille, il y a en outre lieu de compenser les dépens de deuxième instance, aucune partie n’obtenant entièrement gain de cause (art. 95 al. 3, 106 al. 2 et 107 al. 1 let. c CPC). Par ces motifs, le juge délégué de la Cour d’appel civile prononce : I. L’appel est partiellement admis. II. L’ordonnance est réformée au chiffre III de son dispositif comme il suit : III. dit que, dès et y compris le 1er mars 2018, S.________ doit contribuer à l’entretien de son fils R.________ par le régulier versement d’une pension mensuelle, payable d’avance le premier jour de chaque mois en mains de V.________, de 1'200 fr. (mille deux cents francs). Elle est confirmée pour le surplus. III. Les frais judiciaires de deuxième instance, arrêtés à 300 fr. (trois cents francs) pour l’appelante V.________ et à 300 fr. (trois cents francs) pour l’intimé S.________ sont provisoirement laissés à la charge de l’Etat.</w:t>
      </w:r>
    </w:p>
    <w:p>
      <w:r>
        <w:t>- 22 - IV. L’indemnité d’office de Me Amélie Giroud, conseil de l’appelante, est arrêtée à 798 fr. (sept cent nonante-huit francs), TVA et débours compris. V. L’indemnité d’office de Me Rachel Cavargna-Debluë, conseil de l’intimé, est arrêtée à 988 fr. (neuf cent huitante-huit francs), TVA et débours compris. VI. Les bénéficiaires de l’assistance judiciaire sont, dans la mesure de l’art. 123 CPC, tenus au remboursement des frais judiciaires et de l’indemnité à leur conseil d’office mis à la charge de l’Etat. VII. Les dépens de deuxième instance sont compensés. VIII. L’arrêt est exécutoire. Le juge délégué : Le greffier : Du Le présent arrêt, dont la rédaction a été approuvée à huis clos, est notifié en expédition complète à : - Me Amélie Giroud (pour V.________), - Me Rachel Cavargna-Debluë (pour S.________), et communiqué, par l'envoi de photocopies, à : - M. le Président du Tribunal civil de l’arrondissement de Lausanne.</w:t>
      </w:r>
    </w:p>
    <w:p>
      <w:r>
        <w:t>- 23 -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