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JS17.043666 vom 26. Februar 2018</w:t>
      </w:r>
    </w:p>
    <w:p>
      <w:r>
        <w:t>VD Tribunal cantonal, 2018-02-26, FR</w:t>
      </w:r>
    </w:p>
    <w:p>
      <w:r>
        <w:rPr>
          <w:b/>
        </w:rPr>
        <w:t xml:space="preserve">Quelle: </w:t>
      </w:r>
      <w:r>
        <w:t>https://mcp.opencaselaw.ch/entscheid/vd_gerichte_JS17.043666</w:t>
      </w:r>
    </w:p>
    <w:p>
      <w:r>
        <w:t>FR: VD_GERICHTE JS17.043666 du 26 février 2018</w:t>
      </w:r>
    </w:p>
    <w:p>
      <w:r>
        <w:t>IT: VD_GERICHTE JS17.043666 del 26 febbraio 2018</w:t>
      </w:r>
    </w:p>
    <w:p>
      <w:pPr>
        <w:pStyle w:val="Heading2"/>
      </w:pPr>
      <w:r>
        <w:t>Erwägungen</w:t>
      </w:r>
    </w:p>
    <w:p>
      <w:r>
        <w:rPr>
          <w:b/>
        </w:rPr>
        <w:t>E. 3</w:t>
      </w:r>
    </w:p>
    <w:p>
      <w:r>
        <w:t>L’appelant reproche au premier juge d’avoir attribué le domicile conjugal à l’intimée. Il soutient qu’au vu de sa situation, il aurait dû obtenir la jouissance de l’appartement, l’intimée étant en mesure de retrouver plus facilement que lui un autre logement.</w:t>
      </w:r>
    </w:p>
    <w:p>
      <w:r>
        <w:rPr>
          <w:b/>
        </w:rPr>
        <w:t>E. 3.1</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(TF 5A_823/2014 du 3 février 2015 consid. 4.1.1). Il est conforme au droit fédéral de s'en tenir à l'examen exclusif de l'utilité si ce critère aboutit à un résultat exempt d'équivoque (TF 5A_823/2014 précité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Des motifs d'ordre financier peuvent parfois s'avérer décisifs pour l'attribution du logement conjugal, notamment lors d’une absence manifeste de moyens financiers (TF 5A_829/2016 du 15 février 2017 consid. 3.1 et les réf. citées).</w:t>
      </w:r>
    </w:p>
    <w:p>
      <w:r>
        <w:t>- 7 -</w:t>
      </w:r>
    </w:p>
    <w:p>
      <w:r>
        <w:rPr>
          <w:b/>
        </w:rPr>
        <w:t>E. 3.2</w:t>
      </w:r>
    </w:p>
    <w:p>
      <w:r>
        <w:t>En l’espèce, le premier juge a retenu que l’épouse exerçait une activité lucrative et pouvait assumer le loyer et les charges de l’appartement conjugal, alors que l’appelant émargeait à l’aide sociale, qu’il purgeait une peine privative de liberté et qu’il avait fait l’objet d’une mesure d’expulsion temporaire du domicile conjugal après avoir violenté son épouse. Il a dès lors considéré qu’en application du critère de l’utilité, l’intimée devait se voir attribuer la jouissance du domicile conjugal. Cette appréciation ne prête pas le flanc à la critique et doit être confirmé. Les motifs évoqués par l’appelant pour justifier l’attribution en sa faveur de la jouissance du domicile conjugal, notamment la mention par le juge d’application des peines – vraisemblablement mal informé par l’appelant – que ce dernier avait pu conserver son logement, sont sans pertinence. En effet, l’appelant bénéficie depuis sa sortie de prison de l’aide de la Fondation vaudoise de probation afin de trouver un logement, et cas échéant un emploi.</w:t>
      </w:r>
    </w:p>
    <w:p>
      <w:r>
        <w:rPr>
          <w:b/>
        </w:rPr>
        <w:t>E. 4</w:t>
      </w:r>
    </w:p>
    <w:p>
      <w:r>
        <w:t>En définitive, l’appel, manifestement mal fondé, doit être rejeté selon le mode procédural de l’art. 312 al. 1 CPC et l’ordonnance attaquée confirmée. La requête d’assistance judiciaire déposée par A.C.________ doit être rejetée, dès lors que son appel était dépourvu de toute chance de succès (art. 117 let. b CPC). Au vu de l'issue de la procédure d'appel, les frais judiciaires, arrêtés à 600 fr. (art 65 al. 2 TFJC [tarif des frais judiciaires civils du 28 septembre 2010 ; RSV 270.11.5]), seront mis à la charge de l’appelant, qui succombe (art. 106 al. 1 CPC). Il n'y a pas lieu d'allouer de dépens à l'intimée, qui n'a pas été invitée à se déterminer.</w:t>
      </w:r>
    </w:p>
    <w:p>
      <w:r>
        <w:t>- 8 - Par ces motifs, le Juge délégué de la Cour d’appel civile prononce : I. L’appel est rejeté. II. L’ordonnance est confirmée. III. La requête d’assistance judiciaire est rejetée. IV. Les frais judiciaires de deuxième instance, arrêtés à 600 fr. (six cents francs), sont mis à la charge de l’appelant A.C.________. V. L’arrêt est exécutoire. Le juge délégué : La greffière : Du Le présent arrêt, dont la rédaction a été approuvée à huis clos, est notifié en expédition complète à : - Me Jean-Pierre Bloch, avocat (pour A.C.________), - Me Alexandre Saillet, avocat (pour B.C.________), et communiqué, par l'envoi de photocopies, à : - M. le vice-président du Tribunal civil de l’arrondissement de La Broye et du Nord vaudois.</w:t>
      </w:r>
    </w:p>
    <w:p>
      <w:r>
        <w:t>- 9 -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