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JS17.039450 vom 6. Mai 2019</w:t>
      </w:r>
    </w:p>
    <w:p>
      <w:r>
        <w:t>VD Tribunal cantonal, 2019-05-06, FR</w:t>
      </w:r>
    </w:p>
    <w:p>
      <w:r>
        <w:rPr>
          <w:b/>
        </w:rPr>
        <w:t xml:space="preserve">Quelle: </w:t>
      </w:r>
      <w:r>
        <w:t>https://mcp.opencaselaw.ch/entscheid/vd_gerichte_JS17.039450</w:t>
      </w:r>
    </w:p>
    <w:p>
      <w:r>
        <w:t>FR: VD_GERICHTE JS17.039450 du 6 mai 2019</w:t>
      </w:r>
    </w:p>
    <w:p>
      <w:r>
        <w:t>IT: VD_GERICHTE JS17.039450 del 6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motivé du 12 octobre 2018, A.C.________ a fait appel de l’ordonnance précitée, concluant, sous suite de frais et dépens, à la modification des chiffres I à VI de son dispositif en ce sens, principalement, que, dès et y compris le 1er septembre 2017, il ne contribue plus à l’entretien de ses enfants C.C.________ et D.C.________ et, subsidiairement, que, dès et y compris le 1er septembre 2017, il contribue à l’entretien de sa fille C.C.________ et de son fils D.C.________ par le versement d’une pension mensuelle de 516 fr. 10, respectivement 579 fr. 77 – correspondant à la moitié des coûts directs de l’assurance-maladie LAMal et LCA, des frais médicaux, non remboursés, de l’ [...] et de l’ [...] –, allocations familiales en sus. Par acte motivé du 12 octobre 2018, B.C.________ a également fait appel de l’ordonnance, concluant, avec suite de frais et dépens, à la réforme des chiffre III et IV de son dispositif en ce sens qu’A.C.________ contribue à l’entretien de ses enfants C.C.________ et D.C.________ par le régulier versement d’une pension mensuelle de 2'910 fr., respectivement de 3'035 fr., allocations familiales en sus.</w:t>
      </w:r>
    </w:p>
    <w:p>
      <w:r>
        <w:t>- 5 - Le 26 novembre 2018, B.C.________ a conclu au rejet de l’appel de son époux. A l’appui de son écriture, elle a produit une pièce. Le même jour, A.C.________ a conclu au rejet de l’appel de son épouse. Par acte du 5 décembre 2018, B.C.________ s’est déterminée sur la réponse du 26 novembre 2018. Le 13 mars 2019, elle a produit un onglet de deux pièces, sous bordereau. Le 15 mars 2019, A.C.________ a produit une écriture intitulée « remarques préliminaires », à l’appui de laquelle il a produit deux pièces. Le 19 mars 2019, les parties, assistées de leurs conseils, ont été entendues à l’audience tenue par le Juge délégué de la Cour d’appel civile (ci-après : le juge délégué). A cette occasion, B.C.________ a requis le retranchement du courrier recommandé déposé le 15 mars 2018 par A.C.________. Lors de cette audience, chacune des parties a produit une pièce. Après la clôture des débats, les parties ont été informées que l’arrêt à intervenir ne serait pas communiqué à leurs conseils avant le 15 avril 2019 de façon à leur permettre, le cas échéant, de déposer une éventuelle convention dans l’intervalle. Par courrier du 3 avril 2019, B.C.________ a produit une pièce nouvelle. A.C.________ s’est déterminé par courrier du 11 avril 2019. C. Le juge délégué retient les faits pertinents suivants, sur la base de l’ordonnance complétée par les pièces du dossier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