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JS17.035654 vom 4. Mai 2018</w:t>
      </w:r>
    </w:p>
    <w:p>
      <w:r>
        <w:t>VD Tribunal cantonal, 2018-05-04, FR</w:t>
      </w:r>
    </w:p>
    <w:p>
      <w:r>
        <w:rPr>
          <w:b/>
        </w:rPr>
        <w:t xml:space="preserve">Quelle: </w:t>
      </w:r>
      <w:r>
        <w:t>https://mcp.opencaselaw.ch/entscheid/vd_gerichte_JS17.035654</w:t>
      </w:r>
    </w:p>
    <w:p>
      <w:r>
        <w:t>FR: VD_GERICHTE JS17.035654 du 4 mai 2018</w:t>
      </w:r>
    </w:p>
    <w:p>
      <w:r>
        <w:t>IT: VD_GERICHTE JS17.035654 del 4 maggio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w:t>
      </w:r>
    </w:p>
    <w:p>
      <w:r>
        <w:t>- 9 -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 Les vrais nova sont des faits ou moyens de preuve qui ne sont nés qu’après la fin de l’audience de débats principaux de première instance ; ils sont recevables</w:t>
      </w:r>
    </w:p>
    <w:p>
      <w:r>
        <w:t>- 10 -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 sont soumis au régime ordinaire, même dans les causes soumises à la maxime inquisitoire (en ce sens Tappy, Les voies de droit du nouveau Code de procédure civile, in JdT 2010 III 115 ; Hohl, Procédure civile, Tome II, 2e éd., Berne 2010, p. 437, n. 2410). Le Tribunal fédéral a approuvé cette interprétation de la loi (ATF 138 III 625 consid. 2.2). Des nova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5A_456/2016 du 28 octobre 2016 consid. 4.1 ; TF 5A_22/2014 du 13 mai 2014 consid. 4.2, publié in RSPC 2014 p. 456, qui relève que la question de principe n'a pas encore été tranchée ; TF 5A_342/2013 du 27 septembre 2013 consid. 4.1.2). En l’occurrence, l’appelant a produit un lot de neuf pièces réunies sous bordereau, dont il convient d’examiner la recevabilité à la lumière des conditions de l’art. 317 al. 1 CPC et des principes rappelés ci- dessus. Les pièces 1 à 4 sont des pièces de forme, respectivement figurent déjà au dossier de première instance, de sorte qu’elles sont recevables.</w:t>
      </w:r>
    </w:p>
    <w:p>
      <w:r>
        <w:t>- 11 - La pièce 5, soit un extrait du « Salarium - Calculateur individuel de salaires 2014 », a trait selon l’appelant au revenu pouvant être réalisé par l’intimée. La pièce 6 est un extrait du site Internet « cecb.ch » par lequel l’appelant entend démontrer que l’intimée pourrait réaliser un revenu supplémentaire de 400 fr. par mois en raison du certificat énergétique qu’elle a obtenu dans le courant de l’année 2017. La pièce 7, soit un document intitulé « Déduction fiscale : Utilisation professionnelle d’une pièce du domicile privé », vient à l’appui d’un moyen de l’appelant, selon lequel le loyer de l’intimée devrait être réduit en raison du fait que celle-ci, indépendante, travaille à domicile. La pièce 8, soit un extrait du site Internet « homegate.ch » concernant les loyers de maisons à louer à [...], est censée justifier selon l’appelant la prise en compte de l’amortissement de la dette hypothécaire dont il s’acquitterait. Force est ainsi de constater que les pièces 5 à 8 se rapportent à des faits qui existaient déjà avant la clôture de l’instruction par le premier juge et qu’elles auraient ainsi pu être produites en première instance en faisant preuve de la diligence requise. Ces pièces s’avèrent en conséquence irrecevables, l’appelant n’exposant au demeurant pas les raison qui les rendraient recevables selon lui. La pièce 9 est un extrait du site Internet « Google Maps » ayant trait à la distance parcourue par l’appelant pour se rendre à son lieu de travail depuis son domicile. Elle n’est pas recevable, mais on peut admettre que cette distance est un fait notoire. Il sera ainsi retenu que la distance séparant le domicile de l’appelant de son lieu de travail est de 20 km.</w:t>
      </w:r>
    </w:p>
    <w:p>
      <w:r>
        <w:rPr>
          <w:b/>
        </w:rPr>
        <w:t>E. 4.1</w:t>
      </w:r>
    </w:p>
    <w:p>
      <w:r>
        <w:t>L’appelant critique le revenu de l’intimée tel que déterminé par l’autorité précédente. Il soutient que depuis la séparation en juillet 2017, l’intimée travaillerait à 80%, soit tous les jours à l’exception du mercredi, de sorte qu’il y aurait lieu d’augmenter de 20% le revenu déterminé par le premier juge pour un taux de 60%. Il fait également</w:t>
      </w:r>
    </w:p>
    <w:p>
      <w:r>
        <w:t>- 12 - valoir que le certificat énergétique que l’intimée a obtenu en 2017 lui assurerait un revenu supplémentaire de 400 francs. Le magistrat a retenu, sur la base des bilans figurant au dossier, que l’intimée réalisait un revenu mensuel net moyen de 2'343 fr. 75 en travaillant à 60%. Il a également retenu que le certificat énergétique obtenu n’engendrait pour l’instant aucun revenu supplémentaire.</w:t>
      </w:r>
    </w:p>
    <w:p>
      <w:r>
        <w:rPr>
          <w:b/>
        </w:rPr>
        <w:t>E. 4.2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(TF 5A_246/2009 du 22 mars 2010 consid. 3.1, publié in FamPra 2010 p. 678 ; TF 5P_342/2001 du 20 décembre 2001 consid. 3a).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 leur application dépend des circonstances du cas concret (TF 5A_726/2011 du 11 janvier 2017 consid. 4.1 ; TF 5A_308/2016 du 7 octobre 2016 consid. 4.1 ; TF 5A_241/2010 du 9 novembre 2010 consid. 5.4.3).</w:t>
      </w:r>
    </w:p>
    <w:p>
      <w:r>
        <w:t>- 13 -</w:t>
      </w:r>
    </w:p>
    <w:p>
      <w:r>
        <w:rPr>
          <w:b/>
        </w:rPr>
        <w:t>E. 4.3</w:t>
      </w:r>
    </w:p>
    <w:p>
      <w:r>
        <w:t>En l’espèce, en première instance et alors que les parties étaient déjà séparées, l’appelant avait allégué dans sa requête de mesures protectrices de l’union conjugale du 6 octobre 2017 que son épouse travaillait à un taux de 50% (all. 60). Il peut donc apparaître surprenant que l’intéressé se prévale en appel du fait que l’intimée exercerait son activité à un taux de 80% depuis la séparation. Quoi qu’il en soit, il n’y a en l’état aucune raison de retenir que l’intimée, qui a la garde de deux enfants âgés de quatre et sept ans, travaille ou devrait travailler à un taux supérieur à 60%. Le seul fait dont pourrait se prévaloir l’appelant à cet égard est que l’intimée fait garder l’enfant U.________ quatre jours par semaine. Il ne faut toutefois pas perdre de vue que l’intimée travaille comme indépendante et qu’elle est donc soumise à des impératifs qui ne se concilient pas avec un travail totalement régulier durant les heures de bureau. Il est ainsi parfaitement raisonnable de considérer que pour travailler à 60%, elle doit pouvoir disposer de quatre jours par semaine durant lesquels elle peut librement notamment rencontrer ses clients et se déplacer, sans que l’entier de ce temps puisse être consacré au travail. Quant au certificat énergétique obtenu par l’intimée, l’expérience générale montre que les nouvelles qualifications d’un indépendant ne conduisent pas à une augmentation immédiate de ses revenus, et permet de confirmer l’appréciation du premier juge à cet égard. La démonstration de l’appelant – fondée sur la pièce 6 irrecevable (cf. supra consid. 3) – selon laquelle la certification d’une maison coûterait 400 fr. ne permet de toute manière pas d’ajouter un tel montant au revenu mensuel de l’intimée dès lors que le temps consacré par celle-ci à la certification énergétique serait forcément pris sur celui consacré à une autre activité rémunérée. Compte tenu de ce qui a été exposé, le revenu de 2'343 fr. 75 tel que déterminé par l’autorité précédente, qui correspond à la moyenne mensuelle des bénéfices nets résultant des bilans figurant au dossier ([{23'116 fr. 20 : 12} + {24'850 fr. 80 : 9}] : 2), doit être confirmé.</w:t>
      </w:r>
    </w:p>
    <w:p>
      <w:r>
        <w:t>- 14 -</w:t>
      </w:r>
    </w:p>
    <w:p>
      <w:r>
        <w:rPr>
          <w:b/>
        </w:rPr>
        <w:t>E. 5.1</w:t>
      </w:r>
    </w:p>
    <w:p>
      <w:r>
        <w:t>L’appelant remet en cause certains postes des charges de l’intimée retenus par le premier juge, soit ses frais de logement, de repas et de transport, ainsi que ses primes d’assurance-maladie de base et complémentaire.</w:t>
      </w:r>
    </w:p>
    <w:p>
      <w:r>
        <w:rPr>
          <w:b/>
        </w:rPr>
        <w:t>E. 5.2</w:t>
      </w:r>
    </w:p>
    <w:p>
      <w:r>
        <w:t>Le premier juge a calculé les frais de logement de l’intimée à un montant de 1'176 fr., en déduisant la participation des deux enfants, par 504 fr., du montant de son loyer ressortant du contrat de bail figurant au dossier, par 1'680 francs. L’appelant soutient que le loyer de l’intimée devrait être diminué d’un montant de 168 fr. en raison du fait que son épouse est indépendante et travaille à domicile. La pièce 7 dont se prévaut l’appelant à cet égard est irrecevable (cf. supra consid. 3). Quoi qu’il en soit, elle serait sans pertinence. En effet, à supposer qu’il faille déduire un pourcentage du loyer de l’intimée en raison de l’utilisation professionnelle d’une pièce de son domicile, le montant déduit devrait alors être reporté dans ses charges professionnelles d’indépendante. Ainsi, si le loyer devait être réduit pour cette raison, le revenu devrait l’être également dans la même mesure, ce qui aboutirait au même résultat lors du calcul du disponible de l’intimée. Mal fondé, le moyen doit dès lors être rejeté et le montant de 1'176 fr. retenu par le premier juge doit être confirmé.</w:t>
      </w:r>
    </w:p>
    <w:p>
      <w:r>
        <w:rPr>
          <w:b/>
        </w:rPr>
        <w:t>E. 5.3</w:t>
      </w:r>
    </w:p>
    <w:p>
      <w:r>
        <w:t>L’appelant soutient qu’il n’y a pas lieu de retenir les frais de repas ou de transport de l’intimée. Le premier juge n’a toutefois pas comptabilisé de tels frais dans les charges constituant le minimum vital de l’intimée (cf. supra let. C ch. 4b), de sorte que ce grief tombe à faux.</w:t>
      </w:r>
    </w:p>
    <w:p>
      <w:r>
        <w:t>- 15 -</w:t>
      </w:r>
    </w:p>
    <w:p>
      <w:r>
        <w:rPr>
          <w:b/>
        </w:rPr>
        <w:t>E. 5.4</w:t>
      </w:r>
    </w:p>
    <w:p>
      <w:r>
        <w:t>S’agissant de la prime mensuelle d’assurance-maladie obligatoire de l’intimée, l’appelant soutient qu’il y aurait « lieu de se questionner sur une éventuelle perception d’un subside sensiblement élevé ». Ce raisonnement est erroné. Les règles pour l’établissement du minimum vital sont les mêmes quelles que soient les ressources de l’intéressé. En réalité, ce que fait valoir l’appelant est qu’il faudrait tenir compte d’un revenu potentiel supplémentaire. Un tel moyen suppose l’introduction de faits nouveaux qui ne répondent pas aux conditions de l’art. 317 al. 1 let. b CPC, ce qui suffit à l’écarter. A cela s’ajoute qu’au vu des revenus du couple, l’intimée n’était pas légitimée à demander un subside pour le paiement de ses primes d’assurance-maladie, et l’appelant ne le prétend du reste pas. Or le premier juge devait nécessairement, pour statuer sur la contribution d’entretien, se fonder sur les revenus actuels du couple. Le montant de 378 fr. 75, correspondant à la prime mensuelle d’assurance-maladie obligatoire de l’intimée, et dont la quotité n’est pas contestée par l’appelant, doit dès lors être confirmé.</w:t>
      </w:r>
    </w:p>
    <w:p>
      <w:r>
        <w:rPr>
          <w:b/>
        </w:rPr>
        <w:t>E. 5.5</w:t>
      </w:r>
    </w:p>
    <w:p>
      <w:r>
        <w:t>L’appelant soutient que la prime d’assurance-maladie complémentaire ne peut être retenue dans des situations financières modestes. Les assurances complémentaires peuvent être intégrées dans le budget des parties lorsque leur situation financière est favorable (TF 5A_321/2016 du 25 octobre 2016 consid. 4.3 ; TF 5A_876/2014 du 3 juin 2015 consid. 3.3). Sinon, les assurances non obligatoires ne sont pas prises en compte (ATF 134 III 323 consid. 3). En l’espèce, le budget de l’intimée présente un déficit (cf. infra consid. 5.6) et le disponible de l’appelant ne lui permet pas de couvrir les montants assurant l’entretien convenable des enfants (cf. infra consid.</w:t>
      </w:r>
    </w:p>
    <w:p>
      <w:r>
        <w:t>- 16 - 8.3), de sorte que la situation financière des parties ne peut pas être qualifiée de favorable. Il s’ensuit que contrairement à ce qu’a retenu l’autorité précédente, la prime d’assurance-maladie complémentaire de l’intimée, par 36 fr. 55, ne doit pas être comptabilisée dans ses charges.</w:t>
      </w:r>
    </w:p>
    <w:p>
      <w:r>
        <w:rPr>
          <w:b/>
        </w:rPr>
        <w:t>E. 5.6</w:t>
      </w:r>
    </w:p>
    <w:p>
      <w:r>
        <w:t>Compte tenu de ce qui a été exposé et des postes retenus par le premier juge qui n’ont pas été remis en cause, les charges mensuelles de l’intimée constituant son minimum vital se présentent comme suit : Base mensuelle du minimum vital 1'350 fr. 00 Frais de logement (./. part des enfants) 1'176 fr. 00 Assurance-maladie de base 378 fr. 75 Total 2'904 fr. 75 Au regard du revenu tel que confirmé ci-dessus (cf. supra consid. 4.3), le budget de l’intimée présente un déficit de 561 fr. (2'343 fr. 75 - 2'904 fr. 75).</w:t>
      </w:r>
    </w:p>
    <w:p>
      <w:r>
        <w:rPr>
          <w:b/>
        </w:rPr>
        <w:t>E. 6.1</w:t>
      </w:r>
    </w:p>
    <w:p>
      <w:r>
        <w:t>L’appelant remet en cause certains postes de ses charges tels que retenus, respectivement non pris en compte, par le premier juge, soit ses frais de logement, l’amortissement de la dette hypothécaire et ses frais de transport.</w:t>
      </w:r>
    </w:p>
    <w:p>
      <w:r>
        <w:rPr>
          <w:b/>
        </w:rPr>
        <w:t>E. 6.2</w:t>
      </w:r>
    </w:p>
    <w:p>
      <w:r>
        <w:t>L’appelant fait valoir que ses frais de logement devraient s’élever à un montant de 1'628 fr. 90 en raison du fait qu’il y aurait lieu de tenir compte de son assurance ménage, par 24 fr, en sus des paramètres pris en compte par le premier juge. Le magistrat a arrêté les frais de logement de l’appelant à un montant de 1'604 fr. 90 en additionnant les intérêts hypothécaires, par 1'086 fr., l’impôt foncier, par 68 fr. 90, et les charges, par 450 francs. Il a considéré que l’assurance ménage faisait partie du montant de base prévu par les Lignes directrices pour le calcul du minimum vital du droit des</w:t>
      </w:r>
    </w:p>
    <w:p>
      <w:r>
        <w:t>- 17 - poursuites selon l’art. 93 LP du 1er juillet 2009. Ce raisonnement ne prête pas le flanc à la critique. Le montant de 24 fr. revendiqué par l’appelant ne doit dès lors pas être comptabilisé dans ses frais de logement. Le somme de 1'604 fr. 90 telle que calculée le premier juge, fondée sur des éléments que l’appelant ne remet pas en cause par ailleurs, peut ainsi être confirmée.</w:t>
      </w:r>
    </w:p>
    <w:p>
      <w:r>
        <w:rPr>
          <w:b/>
        </w:rPr>
        <w:t>E. 6.3</w:t>
      </w:r>
    </w:p>
    <w:p>
      <w:r>
        <w:t>L’appelant prétend que les deux amortissements de la dette hypothécaire de 300 fr. chacun dont il s’acquitterait selon lui au nom respectif de chaque époux devraient être intégrés dans ses charges. A la différence des intérêts hypothécaires qui font généralement partie du minimum vital du droit des poursuites, l’amortissement de la dette hypothécaire n’est généralement pas pris en considération, sauf si les moyens financiers des époux le permettent : il ne sert pas, en effet, à l’entretien, mais à la constitution du patrimoine (ATF 127 III 289 consid. 2a/bb et les références citées ; TF 5A_105/2017 du 17 mai 2017 consid. 3.3.1 ; TF 5A_687/2011 du 17 avril 2012 consid. 6.2 ; TF 5P.498/2006 du 18 juin 2006 consid. 4.4.2, résumé in FramPra.ch 2007 p. 929). En l’espèce, comme déjà exposé (cf. supra consid. 5.5), la situation financière des parties n’est pas favorable, de sorte que l’amortissement de la dette hypothécaire ne peut pas être pris en compte. L’amortissement n’est en effet pas à proprement parler une charge, mais correspond à une épargne et il importe peu à cet égard que la dette ait été contractée pendant la vie commune. Le fait – étayé par la pièce 8 irrecevable (cf. supra consid. 3) – que les frais de logement de l’appelant augmentés de l’amortissement correspondraient au loyer d’une maison comparable dans la même région n’est d’aucune pertinence, puisqu’il faut tenir compte uniquement des charges effectives de l’intéressé (cf. TF 5A_608/2014 du 16 décembre 2014 consid. 4.1). On relèvera d’ailleurs que l’appelant n’établit pas au degré de la vraisemblance qu’il s’acquitte effectivement des deux amortissements au nom de chaque partie, étant</w:t>
      </w:r>
    </w:p>
    <w:p>
      <w:r>
        <w:t>- 18 - rappelé que l’ordonnance entreprise prévoit au chiffre II de son dispositif, non remis en cause en appel, que la jouissance du domicile conjugal est attribuée à l’appelant, à charge pour lui d’en payer les charges, sous réserve des amortissements dont les parties s’acquitteront par moitié chacune.</w:t>
      </w:r>
    </w:p>
    <w:p>
      <w:r>
        <w:rPr>
          <w:b/>
        </w:rPr>
        <w:t>E. 6.4</w:t>
      </w:r>
    </w:p>
    <w:p>
      <w:r>
        <w:t>Quant à ses frais de transport, l’appelant soutient qu’il parcourt chaque jour 40 km pour se rendre au travail et regagner son domicile, de sorte qu’un montant de 651 fr. devrait être retenu à titre de frais de transport, sans toutefois expliciter la manière dont il détermine ce montant. Il prétend également qu’il y aurait lieu de tenir compte de ses frais de leasing, par 215 fr., et d’assurance véhicule, par 125 fr., dès lors que son travail nécessiterait l’utilisation d’un véhicule. Le premier juge a calculé les frais de transport de l’intéressé à un montant mensuel de 550 fr., en considérant qu’il parcourait 36 km par jour, à raison de 21.7 jours par mois, pour un coût de 70 ct. par kilomètre. On doit admettre comme un fait notoire (cf. supra consid. 3) que la distance séparant le domicile de l’appelant de son lieu de travail est de 20 km, de sorte que la distance qu’il parcourt par jour est de 40 km et non de 36 km comme retenu par le premier juge. Partant, en appliquant la méthode de calcul dont a fait usage l’autorité précédente, non remise en cause par l’intéressé, ses frais de transport s’élèvent à 607 fr. 60 (40 km x 21.7 jours x 0.7 fr.). En revanche, il ne sera pas tenu compte des frais de leasing et d’assurance véhicule puisqu’il est déjà tenu compte de frais de transport. Même à admettre que le travail de l’appelant nécessiterait l’usage de son véhicule privé – ce qui n’est pas établi –, l’employeur lui devrait alors les frais qui se rapportent à ce travail (cf. art. 327a al. 1 et 327b al. 1 CO).</w:t>
      </w:r>
    </w:p>
    <w:p>
      <w:r>
        <w:rPr>
          <w:b/>
        </w:rPr>
        <w:t>E. 6.5</w:t>
      </w:r>
    </w:p>
    <w:p>
      <w:r>
        <w:t>Compte tenu de ce qui a été exposé et des montants retenus par le premier juge qui n’ont pas été contestés, les charges mensuelles de l’appelant constituant son minimum vital se présentent comme suit :</w:t>
      </w:r>
    </w:p>
    <w:p>
      <w:r>
        <w:t>- 19 - Base mensuelle du minimum vital 1'200 fr. 00 Frais d’exercice du droit de visite 150 fr. 00 Frais de logement 1'604 fr. 90 Assurance-maladie de base 237 fr. 55 Frais de repas 217 fr. 00 Frais de transport 607 fr. 60 Total 4'017 fr. 05 Au regard du revenu réalisé par l’intéressé, non remis en cause en appel, son budget présente un disponible de 1'669 fr. 95 (5'687 fr. - 4'017 fr. 05), montant arrondi à 1'670 francs.</w:t>
      </w:r>
    </w:p>
    <w:p>
      <w:r>
        <w:rPr>
          <w:b/>
        </w:rPr>
        <w:t>E. 7.1</w:t>
      </w:r>
    </w:p>
    <w:p>
      <w:r>
        <w:t>L’appelant critique certains postes intégrés dans les coûts directs des enfants par le premier juge, soit la part de ceux-ci aux frais de logement de l’intimée et les frais de garde de l’enfant U.________.</w:t>
      </w:r>
    </w:p>
    <w:p>
      <w:r>
        <w:rPr>
          <w:b/>
        </w:rPr>
        <w:t>E. 7.2</w:t>
      </w:r>
    </w:p>
    <w:p>
      <w:r>
        <w:t>Sur la base des moyens développés concernant les frais de logement de l’intimée, l’appelant soutient que la participation de chaque enfant à ces frais devrait s’élever à 225 fr, soit 15% de 1'512 francs. Dans la mesure où les moyens concernant ces frais de logement sont mal fondés (cf. supra consid. 5.2), la part de chaque enfant calculée par le premier juge, soit 252 fr. – correspondant à une participation de 15% par enfant conformément à la jurisprudence (TF 5A_874/2015 du 2 mars 2016 consid. 4.4) sur le montant de 1'680 fr. ressortant du bail à loyer produit –, doit être confirmée.</w:t>
      </w:r>
    </w:p>
    <w:p>
      <w:r>
        <w:rPr>
          <w:b/>
        </w:rPr>
        <w:t>E. 7.3</w:t>
      </w:r>
    </w:p>
    <w:p>
      <w:r>
        <w:t>L’appelant fait valoir que les frais de garde retenus dans les coûts directs de l’enfant U.________ ne seraient pas justifiés sur le principe, en alléguant que « l’intimée refusant catégoriquement qu’U.________ soit gardée par des tiers, les parties ont convenu d’attribuer la garde des enfants à l’intimée en raison de sa disponibilité du fait de son travail à</w:t>
      </w:r>
    </w:p>
    <w:p>
      <w:r>
        <w:t>- 20 - domicile », de sorte que l’imputation de frais de garde serait contraire à l’accord initial des parties. Le premier juge a retenu des frais de prise en charge à hauteur de 268 fr. par mois, conformément au montant ressortant la facture de l’Accueil familial de jour figurant au dossier. L’allégation de l’appelant selon laquelle l’intimée refuserait de faire garder l’enfant U.________ n’est aucunement étayée. Par ailleurs, il est difficilement concevable que l’intimée puisse être en mesure de travailler à 60% tout en gardant cette enfant en permanence à la maison et en s’occupant en outre de l’enfant S.________ lorsque celui-ci n’est pas à l’école. Partant, le moyen est mal fondé et le montant des frais de prise en charge de l’enfant U.________ retenu par le premier juge doit être confirmé.</w:t>
      </w:r>
    </w:p>
    <w:p>
      <w:r>
        <w:rPr>
          <w:b/>
        </w:rPr>
        <w:t>E. 7.4</w:t>
      </w:r>
    </w:p>
    <w:p>
      <w:r>
        <w:t>Compte tenu de ce qui a été exposé et dès lors que l’appelant ne remet pas en cause d’autres éléments, le montant des coûts directs de chaque enfant tel que calculé par l’autorité précédente (cf. supra let. C ch. 4c) doit être confirmé. Les coûts directs de l’enfant S.________ s’élèvent ainsi, allocations familiales déduites, à 603 fr. 95 et ceux de l’enfant U.________ à 917 fr. 75.</w:t>
      </w:r>
    </w:p>
    <w:p>
      <w:r>
        <w:rPr>
          <w:b/>
        </w:rPr>
        <w:t>E. 8.1</w:t>
      </w:r>
    </w:p>
    <w:p>
      <w:r>
        <w:t>Il convient de calculer les contributions d’entretien dues pour chaque enfant en fonction des chiffres retenus aux considérants qui précèdent.</w:t>
      </w:r>
    </w:p>
    <w:p>
      <w:r>
        <w:rPr>
          <w:b/>
        </w:rPr>
        <w:t>E. 8.2</w:t>
      </w:r>
    </w:p>
    <w:p>
      <w:r>
        <w:t>Les nouvelles dispositions sur l’entretien de l’enfant sont entrées en vigueur le 1er janvier 2017 (RO 2015 4304). D’après le nouvel art. 176 al. 1 ch. 1 CC, le juge fixe sur requête d’un conjoint les</w:t>
      </w:r>
    </w:p>
    <w:p>
      <w:r>
        <w:t>- 21 -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511 [ci-après : Message],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w:t>
      </w:r>
    </w:p>
    <w:p>
      <w:r>
        <w:t>- 22 -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w:t>
      </w:r>
    </w:p>
    <w:p>
      <w:r>
        <w:t>- 23 -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8.3</w:t>
      </w:r>
    </w:p>
    <w:p>
      <w:r>
        <w:t>En l’espèce, les budgets respectifs des parties révèlent que l’appelant bénéficie d’un disponible de 1'670 fr. (cf. supra consid. 6.5) et que l’intimée accuse un déficit de 561 fr. (cf. supra consid. 5.6). Dans ces conditions, l’appelant devra assumer l’entier des coûts des enfants. Dans la mesure où l’intimée, parent gardien, accuse un déficit, celui-ci doit être réparti par moitié entre les enfants à titre de contribution de prise en charge. L’argument de l’appelant selon lequel ce déficit résulterait du choix de l’activité professionnelle de l’intimée et non de la prise en charge effective des enfants puisqu’elle les ferait garder quatre jours par semaine tombe à faux. En effet, durant la vie commune, l’intimée travaillait déjà à 60%, vraisemblablement pour s’occuper des enfants durant son temps libre dès lors que l’appelant travaille à plein temps. En outre, seul l’enfant U.________ est gardée quatre jours par semaine par des tiers, l’enfant S.________ étant scolarisé, et il a déjà été exposé qu’au vu de son statut d’indépendante, il était vraisemblable de considérer que l’intimée répartisse son taux d’activité de 60% sur quatre jours (cf. supra consid. 4.3). L’entretien convenable de l’enfant S.________ s’élève dès lors à 884 fr. 45 (603 fr. 95 + [561 fr. : 2]) et celui de l’enfant U.________ à 1'198 fr. 25 (917 fr. 75 + [561 fr. : 2]). Au regard des chiffres arrondis retenus par le premier juge, soit 900 fr. pour l’enfant S.________ et 1'200 fr. pour l’enfant U.________, la différence avec le montant de l’entretien convenable de chaque enfant tel que déterminé en appel est négligeable, voire nulle si ces montants sont arrondis, de sorte qu’une réforme de l’ordonnance ne se justifie pas à cet égard. Compte tenu du fait que le disponible de l’appelant (1'670 fr.) ne lui permet pas de s’acquitter des contributions correspondant à l’entretien convenable des enfants (884 fr. 45 + 1'198 fr. 25 = 2'082 fr. 70), il convient de répartir son disponible entre ces derniers par moitié, cette clé de répartition n’étant d’ailleurs pas contestée en appel.</w:t>
      </w:r>
    </w:p>
    <w:p>
      <w:r>
        <w:t>- 25 - Partant, la contribution due par l’appelant pour l’entretien de chaque enfant s’élève à 835 fr. (1'670 fr. : 2). La différence de 25 fr. par enfant avec les pensions de 860 fr. par enfant fixées par l’autorité précédente, correspondant à une réduction de 2.9%, ne justifie pas de réformer l’ordonnance entreprise. 9. Dès lors que les entretiens convenables et contributions d’entretien calculés ci-dessus ne justifient manifestement pas de réformer l’ordonnance, il n’y a pas lieu de tenir une audience pour tenter la conciliation, la conclusion y relative de l’appelant devant ainsi être rejetée. 10. 10.1 En définitive, l’appel doit être rejeté (art. 312 al. 1 in fine CPC) et l’ordonnance confirmée. Vu l’issue de l’appel, les frais judiciaires de deuxième instance, arrêtés à 600 fr. (art. 65 al. 2 TFJC [Tarif des frais judiciaires civils du 28 septembre 2010 ; RSV 270.11.5]), doivent être mis à la charge de l’appelant (art. 106 al. 1 CPC). Toutefois, dès lors qu’il est au bénéfice de l’assistance judiciaire, ces frais seront laissés provisoirement à la charge de l’Etat (art. 122 al. 1 let. b CPC). Il n’y a pas lieu à l’allocation de dépens de deuxième instance, l’intimée n’ayant pas été invitée à déposer une réponse. 10.2 Lorsque la partie au bénéfice de l’assistance succombe, le conseil juridique commis d’office est rémunéré équitablement par le canton (art. 122 al. 1 let. a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w:t>
      </w:r>
    </w:p>
    <w:p>
      <w:r>
        <w:t>- 26 - conduite du procès et applique un tarif horaire de 180 fr. s’agissant d’un avocat, respectivement de 110 fr. pour un avocat-stagiaire (art. 2 al. 1 let. a RAJ [Règlement du 7 décembre 2010 sur l’assistance judiciaire en matière civile ; RSV 211.02.3]). 10.3 Me Franck-Olivier Karlen, conseil d’office de l’appelant, a produit une liste de ses opérations le 14 mars 2018, faisant état d’un temps consacré au dossier de 12 heures, ainsi que de débours d’un montant de 56 fr. 70. Vu la nature du litige et les difficultés de la cause, le temps annoncé doit être admis. Quant aux débours, ils concernent des frais de photocopies et de timbres. De tels frais constituent des frais généraux couverts par le tarif horaire applicable et doivent par conséquent être exclus (CREC 14 novembre 2013/377). Il s’ensuit qu’au tarif horaire de 180 fr., l’indemnité de Me Karlen doit être fixée à 2'160 fr., montant auquel s’ajoute la TVA à 7.7% par 166 fr. 35, soit 2'326 fr. 35 au total. 10.4 Enfin, l’appelant est rendu attentif au fait qu’il est tenu au remboursement des frais judiciaires et de l’indemnité à son conseil d’office provisoirement laissées à la charge de l’Etat dès qu’il sera en mesure de le faire (art. 123 al. 1 CPC). Par ces motifs, le Juge délégué de la Cour d’appel civile prononce : I. L’appel est rejeté. II. L’ordonnance est confirmée.</w:t>
      </w:r>
    </w:p>
    <w:p>
      <w:r>
        <w:t>- 27 - III. Les frais judiciaires de deuxième instance de l’appelant B.P.________, arrêtés à 600 fr. (six cents francs), sont provisoirement laissés à la charge de l’Etat. IV. L’indemnité de Me Franck-Olivier Karlen, conseil d’office de l’appelant B.P.________, est arrêtée à 2'326 fr. 35 (deux mille trois cent vingt-six francs et trente-cinq centimes), TVA et débours compris. V. Le bénéficiaire de l’assistance judiciaire, est, dans la mesure de l’art. 123 CPC, tenu au remboursement des frais judiciaires et de l’indemnité au conseil d’office provisoirement laissés à la charge de l’Etat. VI. L’arrêt est exécutoire. Le juge délégué : Le greffier : Du Le présent arrêt, dont la rédaction a été approuvée à huis clos, est notifié en expédition complète à : - Me Franck-Olivier Karlen (pour B.P.________), - Me Angelo Ruggiero (pour A.P.________), et communiqué, par l'envoi de photocopies, à : - Mme la Présidente du Tribunal civil de l’arrondissement de La Broye et du Nord vaudois.</w:t>
      </w:r>
    </w:p>
    <w:p>
      <w:r>
        <w:t>- 28 -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11</w:t>
      </w:r>
    </w:p>
    <w:p>
      <w:r>
        <w:t>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1er mars 2017/97 consid. 9.3 ; CACI 24 mars 2017/126 consid. 3.2.3). L’obligation d’entretien envers un enfant mineur prime les autres obligations d’entretien du droit de la famille (art. 276a al. 1 CC). Ainsi, dans des situations de déficit, lorsque tant l’enfant mineur que le conjoint ont droit au financement de leur entretien, mais que les capacités économiques du débiteur d’aliments ne suffisent pas à couvrir l’ensemble de cette assistance, le montant disponible va être en priorité, voire en totalité, attribué à l’enfant mineur (Message, p. 555 ; Stoudmann, op. cit., p. 435).</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