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JS17.016358 vom 26. September 2017</w:t>
      </w:r>
    </w:p>
    <w:p>
      <w:r>
        <w:t>VD Tribunal cantonal, 2017-09-26, FR</w:t>
      </w:r>
    </w:p>
    <w:p>
      <w:r>
        <w:rPr>
          <w:b/>
        </w:rPr>
        <w:t xml:space="preserve">Quelle: </w:t>
      </w:r>
      <w:r>
        <w:t>https://mcp.opencaselaw.ch/entscheid/vd_gerichte_JS17.016358</w:t>
      </w:r>
    </w:p>
    <w:p>
      <w:r>
        <w:t>FR: VD_GERICHTE JS17.016358 du 26 septembre 2017</w:t>
      </w:r>
    </w:p>
    <w:p>
      <w:r>
        <w:t>IT: VD_GERICHTE JS17.016358 del 26 settembre 2017</w:t>
      </w:r>
    </w:p>
    <w:p>
      <w:pPr>
        <w:pStyle w:val="Heading2"/>
      </w:pPr>
      <w:r>
        <w:t>Erwägungen</w:t>
      </w:r>
    </w:p>
    <w:p>
      <w:r>
        <w:rPr>
          <w:b/>
        </w:rPr>
        <w:t>E. 3</w:t>
      </w:r>
    </w:p>
    <w:p>
      <w:r>
        <w:t>L'appelant reproche au premier juge d'avoir réparti le solde de son disponible, une fois la contribution d'entretien versée en faveur de son fils, à raison d'un tiers pour l'enfant, d'un tiers pour l'intimée et d'un tiers pour lui-même. Selon lui, cette façon de faire ne reposerait sur aucune base légale et reviendrait à faire bénéficier l'enfant d'une contribution supérieure à son entretien convenable alors que l'art. 285 al. 1 CC dispose que la contribution d'entretien correspond aux coûts directs de l'enfant.</w:t>
      </w:r>
    </w:p>
    <w:p>
      <w:r>
        <w:rPr>
          <w:b/>
        </w:rPr>
        <w:t>E. 3.1.1</w:t>
      </w:r>
    </w:p>
    <w:p>
      <w:r>
        <w:t>Les nouvelles dispositions sur l’entretien de l’enfant, applicables depuis le 1er janvier 2017 (RO 2015 4304), ont impliqué une modification de l’art. 176 al. 1 ch. 1 CC, qui dispose désormais qu’à la</w:t>
      </w:r>
    </w:p>
    <w:p>
      <w:r>
        <w:t>- 12 -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w:t>
      </w:r>
    </w:p>
    <w:p>
      <w:r>
        <w:t>- 13 - signifie que la contribution de prise en charge doit inclure en principe les frais de subsistance dudit parent (Message, p. 535). Le calcul de ces frais pourra s’effectuer sur la base du minimum vital du droit des poursuites (Message, p. 557).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Ainsi, en cas de situation financière aisée, le juge peut s'appuyer sur la méthode du partage de l'excédent, sans toutefois la suivre de manière stricte et y apporter des correctifs afin de limiter la participation à l'excédent à un certain montant. Il est notamment permis de s'écarter d’une répartition par moitié de l’excédent pour favoriser le conjoint qui s'occupe des enfants ou lorsque des circonstances particulières justifient une autre répartition (TF 5A_908/2011 du 8 mars 2012, in FamPra.ch 2012 p. 722).</w:t>
      </w:r>
    </w:p>
    <w:p>
      <w:r>
        <w:rPr>
          <w:b/>
        </w:rPr>
        <w:t>E. 3.1.2</w:t>
      </w:r>
    </w:p>
    <w:p>
      <w:r>
        <w:t>Si les ressources des père et mère sont suffisantes pour couvrir les besoins de l'enfant, il suffit de fixer la part que chacun des parents doit supporter en fonction de sa capacité financière (TF 5C.127/2003 du 15 octobre 2003 consid. 4.1.4). Lorsque les conditions financières sont bonnes, l'entretien de l'enfant et ses besoins sont calculés de façon concrète en se basant sur le niveau de vie déterminant du débiteur de l'entretien. Le calcul du "niveau de vie effectif" (ATF 116 II 110 consid. 3b), respectivement la détermination concrète des besoins de l'enfant, implique assurément une certaine forfaitisation, de sorte qu'il est indispensable et au demeurant licite de se référer à des chiffres préétablis (par ex. dans les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 citées;</w:t>
      </w:r>
    </w:p>
    <w:p>
      <w:r>
        <w:t>- 14 - TF 5A_40/2016 du 16 août 2016 consid. 3.2 et 3.3; TF 5A_621/2013 du 20 novembre 2014 consid. 4.2.1 non publié in ATF 141 III 53; TF 5A_773/2009 du 10 février 2010 consid. 3.3.2, non publié aux ATF 136 III 209).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5A_751/2016 du 6 avril 2017 consid. 3.3.1; TF 5A_85/2017 du 19 juin 2017 consid. 6.1; TF 5A_861/2014 du 21 avril 2015 consid. 3.2.3; 5A_159/2009 du 16 octobre 2009 consid. 4.2 et les références; TF 5A_216/2009 du 14 juillet 2009 consid. 4.2; Céline De Weck-Immelé, in Bohnet/Guillod [éd.], Droit matrimonial, Commentaire pratique, 2016, n° 142 ad art. 176 CC). En vertu des Tabelles zurichoises, les coûts d'entretien mensuels d'un enfant unique âgé entre 13 et 18 ans s'élèvent à 2'074 francs.</w:t>
      </w:r>
    </w:p>
    <w:p>
      <w:r>
        <w:rPr>
          <w:b/>
        </w:rPr>
        <w:t>E. 3.1.3</w:t>
      </w:r>
    </w:p>
    <w:p>
      <w:r>
        <w:t>Le large pouvoir d'appréciation dont dispose le juge dans la fixation du montant des contributions d'entretien dues selon le droit de la famille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consid. 2c/aa; ATF 116 II 103 consid. 2f; TF 5A_127/2009 du 12 octobre 2009 consid. 6.3.2; TF 5A_792/2008 du 26 février 2009 consid. 5.3.1; TF 5A_507/2007 du 23 avril 2008 consid. 5.1). Le simple fait que la méthode utilisée par la cour cantonale pour fixer la contribution d'entretien aboutisse à un résultat différent de celui auquel aboutiraient d'autres méthodes ne permet pas, en soi, de considérer la décision entreprise comme insoutenable, l'arbitraire ne résultant pas du seul fait qu'une autre solution serait concevable, voire préférable (TF 5A_817/2017 du 1er mai 2017 consid. 4.1.3.2).</w:t>
      </w:r>
    </w:p>
    <w:p>
      <w:r>
        <w:t>- 15 -</w:t>
      </w:r>
    </w:p>
    <w:p>
      <w:r>
        <w:rPr>
          <w:b/>
        </w:rPr>
        <w:t>E. 3.2</w:t>
      </w:r>
    </w:p>
    <w:p>
      <w:r>
        <w:t>En l'espèce, les chiffres retenus par le premier juge ont été corrigés d'office (cf. chiffre 4 supra) dans la mesure où ils ont une influence directe sur le montant de la contribution d'entretien en faveur de l'enfant mineur des parties. L'appelant ne conteste ni la méthode du minimum vital élargi appliquée par le premier juge pour fixer la contribution d'entretien en faveur de son fils, ni le montant des coûts d'entretien directs de son fils arrêté à 2'592 fr. 25. Le montant dont il dispose après avoir couvert ses charges s'élève à 3'941 fr. 15, ce qui correspond à 76.35% du montant disponible global des parties (de 5'161 fr. 65). L'appelant doit dès lors participer aux coûts directs de son fils dans cette même proportion, soit par 1'979 fr. 20 (76.35% de 2'592 fr. 25). S'agissant de la répartition de l'excédent entre les parties, et contrairement à ce que soutient l'appelant, il n'est notamment pas choquant ou contraire à l'esprit de la loi de faire bénéficier l'enfant mineur de la situation aisée de ses parents. Dans ces circonstances, le principe de l'attribution par le premier juge d'un tiers du disponible de l'appelant en faveur de son fils, soit 654 fr. une fois les erreurs de calcul corrigées ([3'941 fr. 15 – 1'979 fr. 20] : 3), ne prête pas le flanc à la critique et doit être confirmé. Cette répartition se réfère implicitement à la pratique antérieure au 1er janvier 2017, par laquelle le montant disponible, après paiement des minimums vitaux et contribution d'entretien en faveur des enfants, était réparti à raison de deux tiers pour le parent gardien des enfants mineurs – afin de tenir compte des charges supplémentaires que représentait leur garde effective –, et d'un tiers pour le parent non gardien. Elle est en outre adéquate au vu de l'état de santé de C.V.________ qui engendrera très vraisemblablement dans un proche avenir des coûts médicaux plus importants que ceux retenus dans son budget ainsi que du fait qu'il sera majeur en octobre 2017. Au vu de ce qui précède, et compte tenu des corrections mathématiques auxquelles le juge délégué de céans a procédé d'office, l'appelant doit être astreint à contribuer à l'entretien de son fils par le</w:t>
      </w:r>
    </w:p>
    <w:p>
      <w:r>
        <w:t>- 16 - versement d'un montant mensuel arrondi à 2'633 fr. (1'979 fr. 20 + 654 fr.), hors allocations de formation dues en sus, payable d'avance le premier jour de chaque mois en mains de l'intimée, dès et y compris le 1er avril 2017. Ce montant ne s'écarte pas de manière choquante des coûts d'entretien mensuels retenus dans les Tabelles zurichoises majorés de 25% au vu des moyens de ses parents. Il tient en outre compte de l'ensemble des circonstances du cas d'espèce, notamment de l'état de santé de l'enfant, et préserve le minimum vital élargi de l'appelant.</w:t>
      </w:r>
    </w:p>
    <w:p>
      <w:r>
        <w:rPr>
          <w:b/>
        </w:rPr>
        <w:t>E. 4</w:t>
      </w:r>
    </w:p>
    <w:p>
      <w:r>
        <w:t>L'appelant reproche également au premier juge d'avoir considéré que l'intimée avait obtenu gain de cause de sorte qu'elle avait droit à des dépens. Selon lui, il convenait de retenir qu'il avait obtenu gain de cause sur les deux conclusions litigieuses restantes de sorte qu'il avait droit à des dépens réduits, estimés à 1'500 francs.</w:t>
      </w:r>
    </w:p>
    <w:p>
      <w:r>
        <w:rPr>
          <w:b/>
        </w:rPr>
        <w:t>E. 4.1</w:t>
      </w:r>
    </w:p>
    <w:p>
      <w:r>
        <w:t>Aux termes de l’art. 106 al. 2 CPC,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4.2</w:t>
      </w:r>
    </w:p>
    <w:p>
      <w:r>
        <w:t>En l'espèce, le premier juge a constaté que dans sa requête de mesures protectrices de l’union conjugale du 13 avril 2017, l'intimée avait pris sept conclusions et que les parties étaient parvenues à un accord sur cinq d'entre elles. Les deux conclusions restées litigieuses concernaient le montant des contributions d'entretien mises à la charge de l'appelant, respectivement en faveur de son fils C.V.________ et en faveur de son</w:t>
      </w:r>
    </w:p>
    <w:p>
      <w:r>
        <w:t>- 17 - épouse. Le magistrat a considéré que cette dernière avait obtenu quasiment gain de cause s’agissant de la quotité de la contribution d’entretien demandée pour l’enfant C.V.________ – fixée à 2'300 fr. par mois, alors qu’elle avait conclu à 2'500 fr. par mois – mais qu'elle avait succombé s’agissant de la pension alimentaire revendiquée pour elle- même, puisqu’elle n’en obtient aucune. Il a dès lors considéré que l'intimée l'avait emporté sur l’une des deux questions restées litigieuses, correspondant à l’une des sept questions juridiques faisant l’objet de la procédure. Elle avait dès lors droit à des dépens réduits de 6/7èmes, arrêtés à 750 fr., à titre de participation aux honoraires et débours de son conseil, à la charge de l’intimé. Cette répartition ne prête pas le flanc à la critique et doit être confirmée. En effet, une fois les erreurs de calcul corrigées, s'agissant de la situation financière de l'intimée, le montant de la contribution d'entretien mis à la charge de l'appelant en faveur de son fils C.V.________, en définitive arrêté à 2'633 fr., est supérieur à celui qu'il avait admis par 735 fr. en première instance. Dans ces circonstances, l'appelant ne peut soutenir qu'il aurait obtenu gain de cause sur ce point. Par ailleurs, quand bien même les parties ont passé une convention sur cinq des sept points litigieux entre elles, c'est l'intimée qui a ouvert action en saisissant le premier juge d'une requête de mesures protectrices de l'union conjugale. Partant, il n'y a pas lieu de s'écarter de la répartition des dépens à laquelle le premier juge a procédé dans le cadre de son large pouvoir d'appréciation, l'intimée ayant bel et bien obtenu gain de cause sur six conclusions sur sept. Ce moyen, mal fondé, doit être rejeté.</w:t>
      </w:r>
    </w:p>
    <w:p>
      <w:r>
        <w:rPr>
          <w:b/>
        </w:rPr>
        <w:t>E. 5</w:t>
      </w:r>
    </w:p>
    <w:p>
      <w:r>
        <w:t>En définitive, l'appel doit être rejeté et l'ordonnance réformée d’office au chiffre II de son dispositif dans le sens du considérant 3.2 ci- dessus. Elle est confirmée pour le surplus. Les frais judiciaires de deuxième instance, arrêtés à 1'200 fr. (art. 65 al. 2 TFJC [tarif des frais judiciaires civils du 28 septembre 2010 ; RSV</w:t>
      </w:r>
    </w:p>
    <w:p>
      <w:r>
        <w:t>- 18 - 270.11.5]), seront supportés par l'appelant, qui succombe (art. 106 al. 1 CPC). L’intimée étant représentée par un mandataire professionnel, l'appelant lui versera la somme de 1'500 fr. titre de dépens de deuxième instance (art. 7 TDC [tarif des dépens en matière civile du 23 novembre 2010 ; RSV 270.11.6]). Par ces motifs, le Juge délégué de la Cour d’appel civile prononce : I. L’appel est rejeté. II. L'ordonnance est réformée au chiffre II de son dispositif comme il suit: II. astreint A.V.________ à contribuer à l'entretien de son fils Victor, né le 30 octobre 1999, par le régulier versement d'une pension mensuelle de 2'633 fr. (deux mille six cent trente-trois francs), hors allocations de formation dues en sus, payable d'avance le premier jour de chaque mois en mains d'B.V.________, dès et y compris le 1er avril 2017. Elle est confirmée pour le surplus. III. Les frais judiciaires de deuxième instance, arrêtés à 1'200 fr. (mille deux cents francs), sont mis à la charge de l'appelant. IV. L'appelant A.V.________ doit verser à l'intimée B.V.________ la somme de 1'500 fr. (mille cinq cents francs) à titre de dépens de deuxième instance.</w:t>
      </w:r>
    </w:p>
    <w:p>
      <w:r>
        <w:t>- 19 - V. L'arrêt motivé est exécutoire. Le juge délégué : La greffière : Du Le présent arrêt, dont la rédaction a été approuvée à huis clos, est notifié en expédition complète à : - Me Bertrand Demierre, avocat (pour A.V.________), - Me Olivier Burnet, avocat (pour B.V.________),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