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JS17.008887 vom 29. August 2017</w:t>
      </w:r>
    </w:p>
    <w:p>
      <w:r>
        <w:t>VD Tribunal cantonal, 2017-08-29, FR</w:t>
      </w:r>
    </w:p>
    <w:p>
      <w:r>
        <w:rPr>
          <w:b/>
        </w:rPr>
        <w:t xml:space="preserve">Quelle: </w:t>
      </w:r>
      <w:r>
        <w:t>https://mcp.opencaselaw.ch/entscheid/vd_gerichte_JS17.008887</w:t>
      </w:r>
    </w:p>
    <w:p>
      <w:r>
        <w:t>FR: VD_GERICHTE JS17.008887 du 29 août 2017</w:t>
      </w:r>
    </w:p>
    <w:p>
      <w:r>
        <w:t>IT: VD_GERICHTE JS17.008887 del 29 agosto 2017</w:t>
      </w:r>
    </w:p>
    <w:p>
      <w:pPr>
        <w:pStyle w:val="Heading2"/>
      </w:pPr>
      <w:r>
        <w:t>Erwägungen</w:t>
      </w:r>
    </w:p>
    <w:p>
      <w:r>
        <w:rPr>
          <w:b/>
        </w:rPr>
        <w:t>E. 6</w:t>
      </w:r>
    </w:p>
    <w:p>
      <w:r>
        <w:t>mars 2013 consid. 4.2). Toutefois, pour les questions relatives aux époux, en particulier sur la contribution d’entretien (cf. Tappy, CPC commenté, op. cit., nn. 5 ss ad art. 277 CPC), le principe de disposition s'applique à l'objet du litige et la maxime des débats à l'établissement des faits. Le juge est lié par les conclusions des parties ; il ne peut accorder à l'une ni plus, ni autre chose que ce qu'elle demande, ni moins que ce que l'autre reconnaît lui devoir. Il statue en outre dans les limites des faits allégués et établis par les parties (TF 5A_361/2011 du 7 décembre 2011 consid. 5.3). 2.3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 Tappy, op. cit., JdT 2010 III 138). Il appartient à l'appelant de démontrer que ces conditions sont réalisées, de sorte que l'appel doit indiquer spécialement de tels faits et preuves nouveaux et motiver spécialement les raisons qui les rendent admissibles selon lui (JdT 2011 III 43 et les réf. citées).</w:t>
      </w:r>
    </w:p>
    <w:p>
      <w:r>
        <w:t>- 7 - 2.4 En procédure de mesures provisionnelles, le juge statue sur la base de la simple vraisemblance après une administration limitée des preuves (ATF 120 II 352 consid. 2b), en se fondant sur les moyens de preuve immédiatement disponibles (ATF 131 III 473 consid. 2.3 in limine ; TF 5A_497/2011 du 5 décembre 2011 consid. 3.2 ; TF 5A_41/2011 du</w:t>
      </w:r>
    </w:p>
    <w:p>
      <w:r>
        <w:rPr>
          <w:b/>
        </w:rPr>
        <w:t>E. 6.1</w:t>
      </w:r>
    </w:p>
    <w:p>
      <w:r>
        <w:t>Enfin, l’appelant fait valoir que le logement de l’intimée est déraisonnable quant à sa taille. Il soutient que le premier juge aurait dû mettre à sa charge un loyer hypothétique de 2'000 fr. pour un logement adéquat et lui imputer un revenu locatif hypothétique de 7’500 fr. pour la location de sa villa.</w:t>
      </w:r>
    </w:p>
    <w:p>
      <w:r>
        <w:rPr>
          <w:b/>
        </w:rPr>
        <w:t>E. 6.2</w:t>
      </w:r>
    </w:p>
    <w:p>
      <w:r>
        <w:t>Seuls les frais de logement effectifs ou raisonnables doivent être pris en considération dans le calcul des charges, menant à celui de la contribution d'entretien (TF 5A_1029/2015 du 1er juin 2016 consid. 4.3.1 ; TF 5A_905/2014 du 12 mai 2015 consid. 3.3). Les charges de logement d'un conjoint peuvent ne pas être intégralement retenues lorsqu'elles apparaissent excessivement élevées au regard de ses besoins et de sa situation économique concrète (TF 5A_1029/2015 du 1er juin 2016 consid. 4.3.1 ; TF 5A_365/2014 du 25 juillet 2014 consid. 3.1 et les réf. cit.). En cas de situation économique précaire, il est admissible d'exiger du débiteur d'aliments de réduire ses frais de logement ou de ne pas les accroître (TF 5A_292/2009 du 2 juillet 2009 consid. 2.3.1.2, FamPra.ch 2009 p. 110 ; Juge délégué CACI 9 juillet 2015/354). Un loyer disproportionné par rapport à la situation économique et personnelle de la partie peut ainsi être réduit à un niveau normal, après l'expiration du prochain délai de résiliation du contrat de bail (ATF 129 III 526 consid. 3.3.1 ; ATF 130 III 537 consid. 2.4 et les réf. cit. ; Juge délégué CACI 23 mai 2017/207).</w:t>
      </w:r>
    </w:p>
    <w:p>
      <w:r>
        <w:rPr>
          <w:b/>
        </w:rPr>
        <w:t>E. 6.3</w:t>
      </w:r>
    </w:p>
    <w:p>
      <w:r>
        <w:t>Aucune critique ne peut être formulée s’agissant du montant du loyer de l’intimée, qui est du reste près de deux fois inférieur à celui de l’appelant. En effet, l’appelant loge également seul dans un appartement de 5 pièces pour un loyer de 3'400 francs. Il apparaît dès lors malvenu de reprocher à l’intimée qui s’acquitte de frais de logement de 1'322 fr. et qui a entrepris des démarches afin de vendre son logement, de ne pas le mettre en location. En effet, au vu de la situation des parties et des démarches déjà entreprises, fixer un loyer hypothétique à l’intimée n’apparaît en l’état pas nécessaire dès lors qu’il convient de lui laisser un délai afin qu’elle concrétise les démarches de vente de son bien. En outre,</w:t>
      </w:r>
    </w:p>
    <w:p>
      <w:r>
        <w:t>- 12 - l’appelant soutient qu’un revenu locatif de 7'500 fr. pourrait être imputé à l’intimée pour la location de sa villa sans motiver ni établir ce montant. Le motif est infondé et doit être rejeté. 7. Partant, au vu de ce qui précède, la situation des parties est la suivante : 7.1 Le montant du revenu mensuel de l’appelant, à hauteur de 22'335 fr. 65 doit être confirmé. Ses charges doivent être arrêtées comme suit : - minimum vital fr. 1'200.00 - loyer fr. 3'400.00 - assurance-maladie et LCA fr. 596.65 - prévoyance individuelle liée (pilier fr. 564.10 3a) - impôts fr. 4'000.00 - contributions d’entretien de [...] fr. 2'000.00 - contributions d’entretien de [...] fr. 2'000.00 Total fr. 13'760.75 Après déduction de ses charges mensuelles, il reste à l’appelant un montant disponible de 8'574 fr. 90 (22'335 fr. 65 - 13'760 fr. 75) par mois. 7.2 L’intimée ne perçoit aucun revenu et ses charges se montent à 4'606 fr. 75, ce qui représente son déficit. Ainsi, après déduction du manco de l’intimée, il reste à l’appelant un montant disponible de 3'968 fr. 15 (8'574 fr. 90 – 4'606 fr. 75), qu’il y a lieu de répartir entre les deux époux à raison d’une moitié chacun. Par conséquent, l’appelant devra contribuer à l’entretien de</w:t>
      </w:r>
    </w:p>
    <w:p>
      <w:r>
        <w:t>- 13 - l’intimée par le versement d’une contribution mensuelle de 6'590 fr. 85 (4'606 fr. 75 + 1'984 fr. 10), arrondi à 6'600 francs. 8. 8.1 Au vu de ce qui précède, l’appel doit être partiellement admis et le prononcé réformé en ce sens que l’appelant contribuera à l’entretien de son épouse par le régulier versement d’une pension de 6'600 fr. – montant arrondi –, payable d’avance le premier de chaque mois en mains de son épouse, dès et y compris le 1er mars 2016, sous déduction des montants déjà versés. 8.2 Vu l’issue du litige, les frais judiciaires de deuxième instance, arrêtés à 1’200 fr. (art. 65 al. 4 TFJC [tarif des frais judiciaires civils du 28 septembre 2010 ; RSV 270.11.5), seront répartis entre les parties (art. 106 al. 2 CPC) à raison de quatre cinquièmes à la charge de l’appelant, soit par 960 fr., et d’un cinquième à la charge de l’intimée, soit par 240 francs. L’intimée versera ainsi la somme de 240 fr. à l’appelant à titre de restitution partielle de l’avance de frais fournie par ce dernier (art. 111 al. 2 CPC). 8.3 Compte tenu de l’importance de la cause, de ses difficultés, de l’ampleur du travail et du temps consacré à la procédure (art. 3 TDC [tarif des dépens en matière civile du 23 novembre 2010 ; RSV 270.11.6]), la charge des dépens est évaluée à 1'500 fr. pour chaque partie, de sorte que compte tenu de ce que les frais – comprenant les frais judiciaires et les dépens (art. 95 al. 1 CPC) – doivent être mis à la charge de l’appelant à raison de quatre cinquièmes et de l’intimée à raison d’un cinquième, l’appelant versera en définitive à l’intimée la somme de 900 fr. à titre de dépens de deuxième instance. Par ces motifs, la juge déléguée</w:t>
      </w:r>
    </w:p>
    <w:p>
      <w:r>
        <w:t>- 14 - de la Cour d’appel civile prononce : I. L’appel est partiellement admis. II. Le prononcé est réformé au chiffre I de son dispositif comme il suit : I. dit que L.________ contribuera à l’entretien de son épouse C.________ par le régulier versement d’une pension de 6'600 fr. (six mille six cents francs), payable d’avance le premier de chaque mois en mains de C.________, dès et y compris le 1er mars 2016, sous déduction des montants déjà versés ; Le prononcé est confirmé pour le surplus. III. Les frais judiciaires de deuxième instance, arrêtés à 1’200 fr. (mille deux cents francs), sont mis à la charge de l’appelant L.________ par 960 fr. (neuf cent soixante francs) et à la charge de l’intimée C.________ par 240 fr. (deux cent quarante francs). IV. L’intimée C.________ doit verser à l’appelant L.________ un montant de 240 fr. (deux cent quarante francs) à titre de restitution partielle de l’avance de frais. V. L’appelant L.________ doit verser à l’intimée C.________ un montant de 900 fr. (neuf cents francs) à titre de dépens de deuxième instance. VI. L’arrêt est exécutoire. La juge déléguée : La greffière :</w:t>
      </w:r>
    </w:p>
    <w:p>
      <w:r>
        <w:t>- 15 - Du Le présent arrêt, dont la rédaction a été approuvée à huis clos, est notifié en expédition complète à : - Me Youri Widmer (pour L.________), - Me Denis Bridel (pour C.________), et communiqué, par l'envoi de photocopies, à : - Mme la Présidente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r>
        <w:rPr>
          <w:b/>
        </w:rPr>
        <w:t>E. 10</w:t>
      </w:r>
    </w:p>
    <w:p>
      <w:r>
        <w:t>août 2011 consid. 4.2 in fine ; TF 5A_4/2011 du 9 août 2011 consid. 3.2 ; TF 5A_720/2009 du 18 janvier 2010 consid. 5.3). 2.5 En l’espèce, l’appelant a produit quatre pièces dont il y a lieu d’analyser la recevabilité. Les pièces nos 0, 1 et 2 sont des pièces de forme et sont donc recevables. Quant à la pièce n° 3, soit un extrait du registre du commerce de la société [...] SA, elle aurait certes pu être produite en première instance en faisant preuve de la diligence requise et est en cela irrecevable. Même à la supposer recevable, on ne voit pas en quoi elle serait à même d’exercer une influence décisive sur l’objet du litige. 3. 3.1 L’appelant reproche au premier juge d’avoir tenu compte de l’intégralité du montant des frais de représentation figurant dans le certificat de salaire de 2016 à titre de revenu. Il estime qu’à tout le moins 50 % de cette indemnité forfaitaire servait à rembourser ses dépenses mensuelles effectives et précise que comme il s’agissait de frais remboursés de manière forfaitaire, et non effective, il n’a pas été en mesure de fournir les récépissés attestant de ces frais. 3.2 Le revenu net du conjoint débiteur d’entretien comprend le produit du travail salarié ou indépendant, les revenus de la fortune, les gratifications – pour autant qu'elles constituent un droit du salarié –, le 13e salaire, les avantages salariaux, par exemple sous forme de véhicule, d'indemnité pour travail en équipe, de frais de représentation et les heures supplémentaires (Meier/Stettler, Droit de la filiation, 5e éd., 2014, n. 1080, p. 716 note infrapaginale 2508 ; Chaix, Commentaire romand CC I, 2010, n. 7 ad art. 176 CC).</w:t>
      </w:r>
    </w:p>
    <w:p>
      <w:r>
        <w:t>- 8 - Le remboursement de frais par l'employeur fait partie du revenu tant que ceux-ci ne correspondent pas à des dépenses effectives, supportées dans l'exercice de la profession (TF 5D_10/2012 du 3 juillet 2012 consid. 3.1 et réf. citées). En l'absence de tout justificatif, le Tribunal fédéral a jugé qu’il n'est pas arbitraire de ne pas admettre dans les charges du débirentier des frais de représentation, même admis forfaitairement par l'autorité fiscale (TF 5A_958/2014 du 12 mai 2015 consid. 4.2). 3.3 En l’espèce, l’appelant a lui-même fait état d’une « indemnité forfaitaire » et n’a pas motivé en quoi les montants perçus à titre de frais de représentation, à tout le moins le 50 % de ces frais, constitueraient le remboursement de ses dépenses effectives dans le cadre de son activité de dirigeant de la société [...] SA. Il n’a d’ailleurs pas été en mesure d’établir ces frais, précisément parce qu’ils lui étaient versés de manière forfaitaire et, par essence, reposaient sur une estimation. Il faut ainsi en conclure que ces frais ne correspondaient pas à des dépenses effectives – au sens où l’entend la jurisprudence précitée. Au demeurant, il appartenait à l’appelant d’alléguer et de motiver déjà en première instance quelle partie des frais de représentation constituait un remboursement de frais effectifs ainsi que de le prouver – sous l’angle de la vraisemblance –, ce qui n’a pas été fait. Cela ne ressort en effet pas des actes de la cause, en particulier pas du procès-verbal de l’audience du 26 avril 2017. La simple allégation de l’appelante en appel s’avère tardive et, en tout état de cause, insuffisante à démontrer l’effectivité des dépenses alléguées. 4. 4.1 L’appelant fait grief au premier juge d’avoir omis de déduire les cotisations « perte gain maladie » d’un montant annuel de 2'362 fr. de son salaire.</w:t>
      </w:r>
    </w:p>
    <w:p>
      <w:r>
        <w:t>- 9 - 4.2 Le montant allégué en première instance par l’appelant, comme étant son salaire annuel 2016, est de 248'708 fr. (all. 17 de la requête de mesures protectrices de l’union conjugale du 28 février 2017), montant correspondant au chiffre 11 du certificat de salaire intitulé « salaire net ». Le montant de 2'362 fr. est allégué pour la première fois en appel et est en cela irrecevable. Il n’y a donc pas lieu d’en tenir compte. A supposer même le contraire, ce montant devrait être compensé par les 4'422 fr. perçus en 2016 à titre de remboursement perte de gain accident, lequel montant n’a pas été pris en compte en première instance. 5. 5.1 L’appelant fait ensuite valoir qu’il s’acquitte de contributions d’entretien envers son ex-épouse d’un montant de 2'000 fr. et envers sa fille majeure [...] d’un montant de 2'000 fr. également. Il reproche au premier juge de n’avoir pas pris en compte ces montants dans le calcul de ses charges. 5.2 La contribution versée à l’ex-conjoint fixée par jugement ou convention ratifiée, à condition qu’elle ait été payée jusqu’alors et qu’elle continue à être due pour l’avenir, fait partie du minimum vital du droit des poursuites (de Weck-Immelé, in Bohnet/Guillod, Droit matrimonial : fond et procédure, 2016, n. 107 ad art. 176 CC). 5.3 L’obligation d’entretien du conjoint l’emporte sur celle de l’enfant majeur. Ce principe a été posé pour régler les situations dans lesquelles la capacité contributive de l’époux débirentier n’est pas suffisante pour couvrir à la fois les prétentions du conjoint et celles des enfants majeurs (TF 5A_823/2014 du 3 février 2015 consid. 5.4). Les frais d’entretien de l’enfant majeur découlant de l’art. 277 al. 2 CC ne doivent dès lors pas être inclus dans le minimum vital élargi du débirentier (ATF 132 III 209 consid. 2.3 et la jurisprudence citée ; SJ 2006 I 538 ; TF 5A_958/2014 du 12 mai 2015 consid. 4.5). Cette jurisprudence vaut également en matière de mesures provisionnelles (ATF 132 III 209 consid.</w:t>
      </w:r>
    </w:p>
    <w:p>
      <w:r>
        <w:t>- 10 - 2.3) et de mesures protectrices (TF 5P.384/2002 du 17 décembre 2002 consid. 2.1 ; TF 5A_36/2016 du 29 mars 2016 consid. 4.1). En revanche, si la situation financière des parties permet la couverture du minimum vital du droit des poursuites, il faut tenir compte des contributions d’entretien versées aux enfants majeurs, si le versement est effectif et régulier et ne dépasse pas ce qui est raisonnable par rapport à la situation financière de l’intéressé dans le cadre du minimum vital du droit de la famille, qui est plus large que celui du droit des poursuites (de Weck-Immelé, in Bohnet/Guillod, Droit matrimonial : fond et procédure, 2016, nn. 111-112 ad art. 176 CC et les réf. citées). 5.4 En l’espèce, au vu du revenu mensuel de l’appelant à hauteur de 22'335 fr. 65, il y a lieu de considérer que les parties bénéficiaient d’une situation favorable. Ainsi, référence étant faite aux pièces du dossier, il convient de considérer que, sur la base de la vraisemblance, l’appelant s’acquittait effectivement et régulièrement des contributions d’entretien envers son ex-épouse et sa fille majeure, issue de sa première union. Partant, au vu de la jurisprudence et de la doctrine susmentionnées, les montants afférents à ces versements doivent être pris en compte dans les charges de l’appelant. Pour le surplus, les allégués de la demande du 28 février 2017 concernant ces charges n’ont pas été contestés par l’intimée et, le défaut de motivation du premier juge quant à la non-prise en compte de ces montants sont également des éléments de nature à asseoir cette position. Par conséquent, c’est à tort que le premier juge n’a pas pris en compte les contributions d’entretien versées à la première épouse et à la fille majeure de l’appelant dans l’établissement des charges de ce dernier. Le moyen est fondé et doit être admis. Il est toutefois précisé que, s’agissant de la contribution due à l’ex-épouse, celle-ci prendra fin au 31 décembre 2018. Il appartiendra dès lors à l’intimée, selon l’état de la procédure à cette date, d’entreprendre les démarches qu’elle estimera nécessaires afin d’en tirer les droits qu’il convient.</w:t>
      </w:r>
    </w:p>
    <w:p>
      <w:r>
        <w:t>- 11 - 6.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