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JS17.006491 vom 3. Juli 2017</w:t>
      </w:r>
    </w:p>
    <w:p>
      <w:r>
        <w:t>VD Tribunal cantonal, 2017-07-03, FR</w:t>
      </w:r>
    </w:p>
    <w:p>
      <w:r>
        <w:rPr>
          <w:b/>
        </w:rPr>
        <w:t xml:space="preserve">Quelle: </w:t>
      </w:r>
      <w:r>
        <w:t>https://mcp.opencaselaw.ch/entscheid/vd_gerichte_JS17.006491</w:t>
      </w:r>
    </w:p>
    <w:p>
      <w:r>
        <w:t>FR: VD_GERICHTE JS17.006491 du 3 juillet 2017</w:t>
      </w:r>
    </w:p>
    <w:p>
      <w:r>
        <w:t>IT: VD_GERICHTE JS17.006491 del 3 luglio 2017</w:t>
      </w:r>
    </w:p>
    <w:p>
      <w:pPr>
        <w:pStyle w:val="Heading2"/>
      </w:pPr>
      <w:r>
        <w:t>Erwägungen</w:t>
      </w:r>
    </w:p>
    <w:p>
      <w:r>
        <w:rPr>
          <w:b/>
        </w:rPr>
        <w:t>E. 3.1</w:t>
      </w:r>
    </w:p>
    <w:p>
      <w:r>
        <w:t>L’appelant conteste le raisonnement du premier juge qui aurait refusé à tort la garde partagée, aux motifs qu’il était en recherche d’emploi et que son droit aux prestations du chômage touchait à sa fin.</w:t>
      </w:r>
    </w:p>
    <w:p>
      <w:r>
        <w:rPr>
          <w:b/>
        </w:rPr>
        <w:t>E. 3.2</w:t>
      </w:r>
    </w:p>
    <w:p>
      <w:r>
        <w:t>Conformément à l’art. 176 al. 3 CC (Code civil suisse du 10 décembre 1907 ; RS 210), le juge ordonne les mesures nécessaires concernant les enfants mineurs, d’après les dispositions sur les effets de la filiation. Selon l’art. 273 al. 1 CC, le père ou la mère qui ne détient pas l’autorité parentale ou la garde ainsi que l’enfant mineur ont réciproquement le droit d’entretenir les relations personnelles indiquées par les circonstances. Selon l’art. 274 al. 1 CC, le père et la mère doivent veiller à ne pas perturber les relations de l’enfant avec l’autre parent et à ne pas rendre l’éducation plus difficile. Selon la jurisprudence du Tribunal fédéral, lorsqu'il statue sur le sort des enfants mineurs, en application des articles 273 ss CC, le juge peut notamment attribuer la garde des enfants à un seul des parents. Les principes posés par la jurisprudence et la doctrine en matière de divorce sont applicables par analogie (cf. art. 133 al. 1 ch. 2 et 3). La règle fondamentale sur laquelle doit se fonder l'attribution des enfants est l’intérêt de ces derniers. Au nombre des critères essentiels entrent en ligne de compte le désir de l’enfant capable de discernement, lequel existe en principe dès douze ans s’agissant de la question de l’attribution de l’autorité parentale ou de la garde (TF 5A_119/2010 du 12 mars 2010 consid. 2), les relations personnelles entre parents et enfants, les capacités éducatives respectives des parents, leur aptitude à prendre soin de l’enfant personnellement et à s’en occuper – surtout pour les enfants en bas âge et ceux en âge de scolarité obligatoire (TF 5A_444/2008 du 14 août 2008, rés. In FamPra 2009, p. 252, n. 25), ainsi que leur aptitude 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(TF 5A_798/2009 du</w:t>
      </w:r>
    </w:p>
    <w:p>
      <w:r>
        <w:rPr>
          <w:b/>
        </w:rPr>
        <w:t>E. 3.3.1</w:t>
      </w:r>
    </w:p>
    <w:p>
      <w:r>
        <w:t>En l’espèce, on ne saurait reprocher au premier juge d’avoir procédé à une instruction sommaire puisque les parties sont opposées dans le cadre d’une procédure de mesures protectrices de l’union conjugale. L’appelant n’allègue pas ni ne démontre en quoi le premier juge aurait violé la maxime inquisitoire illimitée.</w:t>
      </w:r>
    </w:p>
    <w:p>
      <w:r>
        <w:rPr>
          <w:b/>
        </w:rPr>
        <w:t>E. 3.3.2</w:t>
      </w:r>
    </w:p>
    <w:p>
      <w:r>
        <w:t>L’appelant semble prétendre que le premier juge aurait été influencé par le témoignage écrit d’un des meilleurs amis du couple pour attribuer la garde des enfants à l’intimée. Or, le premier juge ne s’est pas fondé sur ce document pour motiver sa décision, de sorte que ce grief doit être rejeté.</w:t>
      </w:r>
    </w:p>
    <w:p>
      <w:r>
        <w:t>- 14 -</w:t>
      </w:r>
    </w:p>
    <w:p>
      <w:r>
        <w:rPr>
          <w:b/>
        </w:rPr>
        <w:t>E. 3.3.3</w:t>
      </w:r>
    </w:p>
    <w:p>
      <w:r>
        <w:t>L’argumentation de l’appelant, lorsqu’il affirme être un bon père pour ses enfants, corrobore celle du premier juge. En effet, celui-ci a retenu qu’aucun élément décisif au dossier ne permettait de s’écarter de la pratique usuelle des tribunaux d’accorder à l’appelant un libre et large droit de visite sur ses enfants, à exercer d’entente avec l’intimée. Cependant, des éléments au dossier permettent de retenir que la solution de la garde alternée ne serait pas dans l’intérêt des enfants, critère primordial pour l’accorder. Les relations parentales ne semblent pas s’être améliorées depuis l’audience du 9 mars 2017 et paraissent toujours conflictuelles au vu de la plainte pénale déposée par l’intimée le 13 avril 2017 et des propos tenus par celle-ci dans son courrier du 15 juin 2017. Partant, la garde alternée risquerait d’exposer les enfants au conflit parental qui persiste. En outre, c’est à juste titre que le premier juge a retenu que lorsque l’appelant aurait retrouvé une activité professionnelle, hypothèse que l’appelant a lui-même formulée dans son courrier du 7 juin 2017, il serait moins disponible pour garder ses enfants au cours de la journée. Dès lors, dans ces circonstances, et compte tenu de la profession de maman de jour de l’intimée, il est en effet vraisemblable que l’intimée puisse s’occuper de manière prépondérante des deux enfants du couple. Au demeurant, la distance d’environ huit kilomètres entre le domicile de l’appelant à [...] et celui de l’intimée à [...], certes relativement courte, ne saurait justifier à elle seule la garde alternée. L’on relèvera toutefois que cette distance facilitera à l’avantage des enfants l’exercice du libre et large droit de visite de leur père. Par conséquent, le grief de l’appelant concernant l’octroi de la garde alternée doit être rejeté.</w:t>
      </w:r>
    </w:p>
    <w:p>
      <w:r>
        <w:rPr>
          <w:b/>
        </w:rPr>
        <w:t>E. 4</w:t>
      </w:r>
    </w:p>
    <w:p>
      <w:r>
        <w:t>Dès lors que la garde des enfants demeure octroyée à l’intimée, il n’y a pas lieu de modifier la répartition entre les époux des frais liés à l’entretien des enfants. L’appelant reste tenu de verser des contributions d’entretien en faveur de ses enfants. Dans son écriture du 4 mai 2017, l’appelant soutient que ces contributions d’entretien devraient être réduites, dans la mesure où il ne</w:t>
      </w:r>
    </w:p>
    <w:p>
      <w:r>
        <w:t>- 15 - percevrait plus les indemnités de chômage mais bénéficierait uniquement du revenu d’insertion depuis le 1er juin 2017. Or, il allègue dans son courrier du 7 juin 2017 qu’il serait en phase de retrouver un emploi à un taux de 70 à 80 % lui procurant un revenu mensuel brut de 4'200 fr., soit net de 3'800 fr. par mois, le contrat devant être signé par lui-même, l’employeur et l’assurance-invalidité. On peut dès lors en déduire que l’appelant percevra des revenus découlant de son activité professionnelle, complétés par une indemnité de l’assurance-invalidité, lui permettant d’obtenir ainsi des revenus du même ordre que ceux-résultant de ses indemnités de chômage. Pour ce qui concerne les charges de l’appelant, son loyer actuel, soit 1'500 fr. de loyer net et 140 fr. de charges, est plus élevé que le loyer hypothétique retenu par le premier juge à hauteur de 1'500 fr. par mois. L’appelant a allégué habiter seul l’appartement de quatre pièces et demi, alors qu’il a signé le contrat de bail avec trois autres personnes en qualité de locataires également, tous les quatre étant personnellement et solidairement responsables du paiement du loyer. Ainsi, en présence de quatre colocataires, on peut en déduire que chacun participe au paiement du loyer à hauteur de 25 % du montant total. En l’occurrence, d’une part, l’appelant n’a pas rendu vraisemblable qu’il habitait effectivement seul dans cet appartement et, d’autre part, à supposer qu’il y habite seul, cela ne signifie pas pour autant qu’il assume seul le paiement effectif de l’entier du loyer. Or, seules les charges effectives, dont le débirentier s’acquitte réellement, doivent être prises en compte dans le calcul de ses charges (TF 5A_446/2016 du 4 novembre 2016 consid. 3). Par conséquent, l’appelant n’ayant pas démontré, même au degré de la vraisemblance, qu’il assumait seul le paiement effectif du loyer et compte tenu des circonstances financières, on retiendra à ce titre un montant équivalent à celui retenu par le premier juge, soit un montant de 1'500 fr. par mois. S’agissant du loyer de 65 fr. par mois pour la place de parc, si la situation financière des parties est serrée, les frais de véhicules ne peuvent être pris en considération que si celui-ci est indispensable au débiteur personnellement – en raison de son état de santé ou de la charge</w:t>
      </w:r>
    </w:p>
    <w:p>
      <w:r>
        <w:t>- 16 - de plusieurs enfants à transporter – ou nécessaire à l'exercice de sa profession, l'utilisation des transports publics ne pouvant être raisonnablement exigée de l'intéressé (TF 5A_845/2012 du 2 octobre 2013 consid. 3.3 et réf.; TF 5A_703/2011 du 7 mars 2012 consid. 4.2). En l’occurrence, l’appelant n’a pas allégué ni démontré la stricte nécessité d’avoir un véhicule, que ce soit pour l’exercice de son droit de visite ou à titre professionnel. Partant, ce montant ne sera pas retenu. Par conséquent, aucun élément ne justifie de réduire les contributions d’entretien en faveur des enfants fixées à 500 fr. pour chacun, ni de les supprimer dès le 1er juin 2017.</w:t>
      </w:r>
    </w:p>
    <w:p>
      <w:r>
        <w:rPr>
          <w:b/>
        </w:rPr>
        <w:t>E. 5</w:t>
      </w:r>
    </w:p>
    <w:p>
      <w:r>
        <w:t>Au vu de ce qui précède, l’appel doit être rejeté selon le mode procédural de l’art. 312 al. 1 CPC et la décision attaquée doit être confirmée. Compte tenu de l’issue de l’appel, la requête d’assistance judiciaire déposée par l’appelant pour la procédure de deuxième instance doit être rejetée (art. 117 CPC). L’intimée n’a pas été invitée à se déterminer, de sorte que sa requête d’assistance judiciaire doit également être rejetée. Il ne lui sera pas alloué de dépens. Les frais judiciaires de deuxième instance, arrêtés à 600 fr. (art. 65 al. 2 TFJC [tarif des frais judiciaires civils du 28 septembre 2010 ; RSV 270.11.5]), seront mis à la charge de l’appelant qui succombe (art. 106 al. 1 CPC).</w:t>
      </w:r>
    </w:p>
    <w:p>
      <w:r>
        <w:t>- 17 - Par ces motifs, la Juge déléguée de la Cour d’appel civile prononce : I. L’appel est rejeté. II. La décision est confirmée. III. La requête d’assistance judiciaire de F.J.________ est rejetée. IV. La requête d’assistance jduciaire d’B.J.________ est rejetée. V. Les frais judiciaires de deuxième instance, arrêtés à 600 fr. (six cents francs), sont mis à la charge de l’appelant F.J.________. IV. L’arrêt est exécutoire. La juge déléguée : La greffière : Du Le présent arrêt, dont la rédaction a été approuvée à huis clos, est notifié en expédition complète à : - Me Paul-Arthur Treyvaud (pour F.J.________), - Me Alexa Landert (pour B.J.________),</w:t>
      </w:r>
    </w:p>
    <w:p>
      <w:r>
        <w:t>- 18 - et communiqué, par l'envoi de photocopies, à : - M. le Président du Tribunal d’arrondissement de la Broye et du Nord vaudois. La juge déléguée de la Cour d’appel civile considère que la valeur litigieuse est supérieure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