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JS16.050240 vom 17. Mai 2017</w:t>
      </w:r>
    </w:p>
    <w:p>
      <w:r>
        <w:t>VD Tribunal cantonal, 2017-05-17, FR</w:t>
      </w:r>
    </w:p>
    <w:p>
      <w:r>
        <w:rPr>
          <w:b/>
        </w:rPr>
        <w:t xml:space="preserve">Quelle: </w:t>
      </w:r>
      <w:r>
        <w:t>https://mcp.opencaselaw.ch/entscheid/vd_gerichte_JS16.050240</w:t>
      </w:r>
    </w:p>
    <w:p>
      <w:r>
        <w:t>FR: VD_GERICHTE JS16.050240 du 17 mai 2017</w:t>
      </w:r>
    </w:p>
    <w:p>
      <w:r>
        <w:t>IT: VD_GERICHTE JS16.050240 del 17 maggio 2017</w:t>
      </w:r>
    </w:p>
    <w:p>
      <w:pPr>
        <w:pStyle w:val="Heading2"/>
      </w:pPr>
      <w:r>
        <w:t>Erwägungen</w:t>
      </w:r>
    </w:p>
    <w:p>
      <w:r>
        <w:rPr>
          <w:b/>
        </w:rPr>
        <w:t>E. 14</w:t>
      </w:r>
    </w:p>
    <w:p>
      <w:r>
        <w:t>décembre 2016, auraient dû être produites devant le premier juge si l’appelant avait fait preuve de la diligence requise. Elles sont donc irrecevables. La déclaration d’impôts 2016 (annexe 5), produite par l’appelant le 21 mars 2017, est certes datée du 15 mars 2017 mais elle ne porte que sur des éléments de fait qui ne sont pas nouveaux, soit les revenus et la fortune des parties. Sa production est ainsi tardive et cette pièce est irrecevable, dès lors qu’elle aurait pu être produite à l’appui de l’appel. Au demeurant, elle ne contient manifestement pas les éléments que</w:t>
      </w:r>
    </w:p>
    <w:p>
      <w:r>
        <w:t>- 9 - l’appelant cherche à établir, soit le montant de ses acomptes mensuels d’impôts. Quant au nouveau bail à loyer de l’appelant, qui a été signé le 24 février 2017, il n’a été produit que le 31 mars 2017, soit plus d’un mois plus tard. Il est donc irrecevable puisqu’il aurait dû être produit à l’appui de l’acte d’appel. 3. Selon l'art. 176 al. 1 ch. 1 CC relatif à l'organisation de la vie séparée des époux, le juge fixe la contribution pécuniaire à verser par l'une des parties à l'autre. Il le fait en application de l'art. 163 al. 1 CC (ATF 137 III 385 consid.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 respectifs des époux (TF 5A_304/2013 du 1er novembre 2013 consid. 4.1 et les réf. citées).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(TF 5A_63/2012 du 20 juin 2012 consid. 6.1; TF 5A_685/2012 consid. 4.2.1.1). Selon cette méthode, lorsque le revenu</w:t>
      </w:r>
    </w:p>
    <w:p>
      <w:r>
        <w:t>- 10 -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4. 4.1 En premier lieu, l’appelant fait valoir que l’une de ses rentes du 3e pilier, soit celle relative à ses « bonds » [...] et [...], qui s’élève à 640 fr. par mois, va prendre fin en 2018/2019. Il estime ainsi qu’il ne faudrait tenir compte que de ses revenus « fixes », soit sa rente AVS, sa rente du 2e pilier et sa rente du 3e pilier servie par les Retraites populaires. 4.2 Il y a toutefois lieu de tenir compte de l’ensemble des revenus perçus par les époux, même si certains de ces revenus n’ont qu’un caractère provisoire. Si les revenus issus des « bonds » [...] et [...] devaient effectivement échoir en 2018 ou 2019, ce que l’appelant ne rend pas vraisemblable, il pourra le faire valoir dans une nouvelle requête de mesures protectrices de l’union conjugale en demandant le réexamen du montant de la contribution d’entretien sur la base de l’art. 179 al. 1 CC. En l’état, le grief de l’appelant, mal fondé, doit être rejeté. 5. 5.1 L’appelant se plaint également du fait que ses charges mensuelles incompressibles se monteraient à 6'297 fr. alors que ses revenus ne seraient que de 6'108 francs. Il se réfère en cela à son annexe</w:t>
      </w:r>
    </w:p>
    <w:p>
      <w:r>
        <w:t>- 11 - 1, soit la liste de ses dépenses mensuelles établie par ses soins, qu’il avait déjà produite devant le premier juge, faisant notamment état de frais de nourriture, de primes d’assurance RC, de frais de téléphone et d’internet, de diverses cotisations ainsi que de frais pour sa voiture et son bateau (essence, entretien et taxes). 5.2 L'appel doit être motivé.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Jeandin, CPC commenté, Bâle 2011, n. 3 ad art. 311 CPC). L'appelant ne peut se contenter de renvoyer aux écritures précédentes ou aux moyens soulevés en première instance ; il doit expliquer en quoi son argumentation peut influer sur la solution retenue par les premiers juges (TF 4A_659/2011 du 7 décembre 2011 consid. 3 et 4). Ainsi,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4A_61/2016 du 10 mai 2016 consid. 4 ; TF 4A 376/2016 du 2 décembre 2016 consid. 3.2.1 ; TF 4A 593/2015 du 13 décembre 2016 consid. 5.1). 5.3 En l’espèce, dès lors que l’appelant se contente d’alléguer diverses dépenses sans motiver les raisons pour lesquelles elles devraient être retenues et sans expliquer en quoi les charges retenues par le premier juge seraient erronées, il n’y a pas lieu d’entrer en matière sur ces griefs. Au demeurant, à supposer recevables, les arguments de l’appelant devraient être rejetés. Le premier juge a en effet rappelé à juste titre que la nourriture, les vêtements, les frais de téléphone et autres télécommunications étaient compris dans le forfait LP de base de 1'200 fr.</w:t>
      </w:r>
    </w:p>
    <w:p>
      <w:r>
        <w:t>- 12 - pour une personne seule. Quant aux dépenses relatives à la voiture et au bateau de l’appelant, elles n'entrent pas dans le calcul du minimum vital LP, des frais de véhicule ne pouvant être pris en considération que si celui- ci est indispensable au débiteur personnellement – en raison de son état de santé ou de la charge de plusieurs enfants à transporter – ou nécessaire à l'exercice de sa profession (TF 5A_845/2012 du 2 octobre 2013 consid. 3.3 et réf.; TF 5A_703/2011 du 7 mars 2012 consid. 4.2), ce qui n’est manifestement pas le cas en l’espèce. 6. 6.1 Dans son acte d’appel, l’appelant reproche au premier juge de n’avoir pas pris en compte sa charge fiscale dans le calcul de son minimum vital, qui se monterait selon lui à 1'604 fr. par mois. Dans son courrier du 21 mars 2017, l’appelant relève que ses impôts seraient finalement de 1'271 fr. par mois et que ceux de son épouse s’élèveraient à 395 fr. par mois. 6.2 La prise en compte des impôts courants à titre de charge est fonction de l’aisance financière des époux. Lorsque la contribution est calculée conformément à la méthode dite du minimum vital avec répartition de l'excédent et que les conditions financières des parties sont favorables, il faut prendre en considération la charge fiscale (TF 5A_732/2007 du 4 avril 2008 consid. 2.1 ; TF 5P.407/1998 du 5 janvier 1999 consid. 3c). En d'autres termes, il n'est en principe pas tenu compte de la charge fiscale en présence de moyens limités par rapport au minimum vital (De Luze/Page/Stoudmann, Droit de la famille, 2013, n. 1.58 ad art. 176 CC), tandis que lorsqu'il demeure un excédent à partager entre époux, la charge fiscale entre en considération (de Weck-Immelé, in Bohnet/Guillod, Droit matrimonial : fond et procédure, 2016, n. 113 ad art. 176 CC). Le Tribunal fédéral a considéré que le juge de première instance pouvait s'en tenir aux éléments qui lui étaient connus et non procéder à une simulation d'impôts qui comportait manifestement une</w:t>
      </w:r>
    </w:p>
    <w:p>
      <w:r>
        <w:t>- 13 - part d'incertitude. Il convient au demeurant de relever que le juge des mesures protectrices de l'union conjugale doit se fonder sur les charges effectives et réellement acquittées par le débirentier au moment où il statue (cf. ATF 121 III 20 consid. 3a p. 22 et les arrêts cités), et non sur des dépenses hypothétiques dont on ne sait si elles existeront finalement – et à concurrence de quel montant – ni si elles seront en définitive assumées (TF 5A_751/2008 du 31 mars 2009 consid. 3.1.). 6.3 En l’espèce, le premier juge a considéré que compte tenu d'une situation fiscale peu claire et appelée à changer en raison de la séparation des parties, il n'y avait pas lieu de tenir compte des impôts dans le calcul du minimum vital LP. Il a relevé que les impôts seraient pris en considération indirectement, au moyen du partage du disponible entre les époux. Cette appréciation peut en l’état être confirmée. En effet, le premier juge a expressément souligné que la situation fiscale des époux était peu claire et appelée à changer en raison de leur séparation. A cet égard, il aurait donc été loisible à l’appelant de produire une pièce attestant du montant des acomptes d’impôts qu’il devrait payer ainsi que du paiement effectif desdits acomptes. Il s’est toutefois borné à fournir une « demande de modification des acomptes », remplie par ses soins le 20 décembre 2016, dont on ne peut rien déduire et dont on ignore même si elle a effectivement été transmise à l’autorité fiscale. Quant à la déclaration d’impôt 2016 de l’intéressé, dont on rappellera qu’elle est irrecevable, elle n’établit au surplus pas le montant des éventuels acomptes dus par celui-ci. Ainsi, le montant des acomptes dont se prévaut l’appelant ainsi que leur paiement effectif ne sont nullement établis, ni même rendus vraisemblables. Il y a donc lieu de s’en tenir à la décision du premier juge et de ne pas tenir compte des impôts dans le calcul des charges des parties. Le grief de l’appelant est mal fondé et doit être rejeté.</w:t>
      </w:r>
    </w:p>
    <w:p>
      <w:r>
        <w:t>- 14 - 7. 7.1 Dans sa correspondance du 7 avril 2017, l’appelant semble soutenir que son épouse devrait entamer ses économies pour subvenir à ses besoins. 7.2 La prise en compte de la fortune n'intervient qu'à titre subsidiaire et avec retenue. Ce n'est en principe que lorsque les revenus ne permettent pas de couvrir le minimum vital du créancier que le conjoint débiteur peut être contraint d'engager son capital (TF 5P.173/2002 du 29 mai 2002 consid. 5a, FamPra.ch 2002 p. 806 et les réf. citées; ATF 134 III 581 consid. 3.3, JdT 2009 I 267). En l'absence de déficit, seul le rendement du capital entre en ligne de compte (TF 5A_48/2013 du 19 juillet 2013 consid. 6.3). Ainsi, si les revenus (du travail et de la fortune) des époux suffisent à leur entretien, la substance de la fortune n'est normalement pas prise en considération (ATF 137 III 102 consid. 4.2.1.1; ATF 138 III 289 consid. 11.1.2 ; TF 5A_507/2011 du 31 janvier 2012 consid. 4.4. 7.3 En l’espèce, aucune des parties n’a fait état de sa fortune personnelle devant le premier juge. Aucune pièce n’a au surplus été produite à cet égard en appel, de sorte que l’on ignore l’ampleur ainsi que les revenus de cette éventuelle fortune. Quoi qu’il en soit, dès lors que les revenus totaux des époux suffisent à leur entretien, il n’y a pas lieu d’exiger de l’intimée qu’elle entame la substance de sa fortune pour s’acquitter de ses charges mensuelles essentielles, dont le montant n’est par ailleurs pas contesté. Le grief de l’appelant, mal fondé, doit être rejeté. 8. L’appelant fait également valoir qu’il aurait déménagé le 7 avril 2017 dans un nouveau logement à Nyon, ce qui lui occasionnerait des frais supplémentaires, l’électricité et les services d’une femme de ménage n’étant plus inclus dans son loyer.</w:t>
      </w:r>
    </w:p>
    <w:p>
      <w:r>
        <w:t>- 15 - Toutefois, dès lors que le fait nouveau dont se prévaut l’appelant n’a pas été invoqué en temps utile et qu’il a été considéré comme irrecevable (cf. consid. 2.3 supra), il n’y pas lieu d’en tenir compte. Par surabondance, il y a lieu de rappeler que les dépenses d’électricité sont comprises dans la base mensuelle LP de 1'200 fr. et que les frais relatifs à une femme de ménage ne peuvent pas être compris dans un calcul du minimum vital au sens strict. Au surplus, le montant de ces frais n’est pas documenté. 9. 9.1 En définitive, l’appel doit être rejeté dans la mesure de sa recevabilité et le prononcé entrepris confirmé. 9.2 Les frais judiciaires de deuxième instance, arrêtés à 600 fr. (art. 65 al. 2 TFJC [tarif des frais judiciaires civils du 28 septembre 2010 ; RSV 270.11.5), sont mis à la charge de l’appelant, qui succombe (art. 106 al. 1 CPC). 9.3 Il n’y a pas lieu à l’allocation de dépens, l’intimée n’ayant pas agi avec l’assistance d’un mandataire professionnel et celle-ci n’ayant au demeurant pas été invitée à se déterminer. Par ces motifs, la juge déléguée de la Cour d’appel civile prononce : I. L’appel est rejeté dans la mesure de sa recevabilité. II. Le prononcé est confirmé. III. Les frais judiciaires de deuxième instance, arrêtés à 600 fr. (six cents francs), sont mis à la charge de l’appelant A.B.________.</w:t>
      </w:r>
    </w:p>
    <w:p>
      <w:r>
        <w:t>- 16 - IV. L’arrêt est exécutoire. La juge déléguée : La greffière : Du Le présent arrêt, dont la rédaction a été approuvée à huis clos, est notifié en expédition complète à : - M. A.B.________ - Mme B.B.________,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