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JS16.047609 vom 15. März 2018</w:t>
      </w:r>
    </w:p>
    <w:p>
      <w:r>
        <w:t>VD Tribunal cantonal, 2018-03-15, FR</w:t>
      </w:r>
    </w:p>
    <w:p>
      <w:r>
        <w:rPr>
          <w:b/>
        </w:rPr>
        <w:t xml:space="preserve">Quelle: </w:t>
      </w:r>
      <w:r>
        <w:t>https://mcp.opencaselaw.ch/entscheid/vd_gerichte_JS16.047609</w:t>
      </w:r>
    </w:p>
    <w:p>
      <w:r>
        <w:t>FR: VD_GERICHTE JS16.047609 du 15 mars 2018</w:t>
      </w:r>
    </w:p>
    <w:p>
      <w:r>
        <w:t>IT: VD_GERICHTE JS16.047609 del 15 marzo 2018</w:t>
      </w:r>
    </w:p>
    <w:p>
      <w:pPr>
        <w:pStyle w:val="Heading2"/>
      </w:pPr>
      <w:r>
        <w:t>Erwägungen</w:t>
      </w:r>
    </w:p>
    <w:p>
      <w:r>
        <w:rPr>
          <w:b/>
        </w:rPr>
        <w:t>E. 3.1</w:t>
      </w:r>
    </w:p>
    <w:p>
      <w:r>
        <w:t>L’appelant conteste le montant qui lui a été imputé à titre de revenu hypothétique. Selon lui, il ferait tous les efforts qui pourraient être exigés de lui pour retrouver un emploi, ce qui serait prouvé par ses postulations ainsi que par son inscription auprès de l’Office régional de placement et de trois agences de placement. Il fait valoir que l’industrie de l’imprimerie offset tendrait à disparaître, de sorte qu’il ne serait plus en</w:t>
      </w:r>
    </w:p>
    <w:p>
      <w:r>
        <w:t>- 13 - mesure d’exercer le métier d’imprimeur pour lequel il a été formé. Il soutient que, puisqu’il est au bénéfice d’un revenu d’insertion, il n’y aurait pas de place pour l’imputation d’un revenu hypothétique à son encontre. Il allègue que le fait de retenir un revenu hypothétique à son encontre reviendrait à allonger la liste de ses dettes, alors qu’il ne parviendrait déjà pas à subvenir aux besoins de son fils H.________. Il estime que le premier juge aurait violé le droit en ce sens qu’il n’aurait pas détaillé l’activité professionnelle qui pouvait raisonnablement être exigée de l’appelant. Enfin, il allègue qu’il aurait interrompu son activité lucrative en 2015 pendant une longue période d’un commun accord avec l’intimée afin de s’occuper à plein temps de sa fille.</w:t>
      </w:r>
    </w:p>
    <w:p>
      <w:r>
        <w:rPr>
          <w:b/>
        </w:rPr>
        <w:t>E. 3.2</w:t>
      </w:r>
    </w:p>
    <w:p>
      <w:r>
        <w:t>Pour fixer la contribution d'entretien,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w:t>
      </w:r>
    </w:p>
    <w:p>
      <w:r>
        <w:rPr>
          <w:b/>
        </w:rPr>
        <w:t>E. 3.3</w:t>
      </w:r>
    </w:p>
    <w:p>
      <w:r>
        <w:t>Le premier juge a retenu que R.________ travaillait à un taux d’environ 20% mais que, eu égard à son expérience professionnelle et son état de santé, on pouvait raisonnablement exiger de lui qu’il exerce une activité lucrative à temps plein. Le président a donc considéré qu’il se justifiait d’imputer à l’appelant un salaire équivalent à celui qu’il réalisait auprès de son précédent employeur en qualité d’aide-charpentier.</w:t>
      </w:r>
    </w:p>
    <w:p>
      <w:r>
        <w:rPr>
          <w:b/>
        </w:rPr>
        <w:t>E. 3.4.1</w:t>
      </w:r>
    </w:p>
    <w:p>
      <w:r>
        <w:t>L’appelant est âgé de 44 ans et ne souffre d’aucun problème de santé. Il a perdu deux de ses précédents emplois pour des motifs économiques et non pas parce qu’il ne donnait pas satisfaction ou n’avait pas les qualifications nécessaires. Au contraire, le certificat de travail délivré par P.________ fait état de la qualité de son travail. Aussi, comme il l’admet d’ailleurs lui-même par le biais de ses recherches d’emploi, l’appelant est en mesure de travailler à temps plein. Pour ce qui est du type d’emploi qu’il pourrait exercer, l’appelant n’a pas prouvé, même sous l’angle de la vraisemblance, que l’industrie de l’imprimerie offset tendrait à disparaître, et on ne peut pas considérer qu’il s’agit d’un fait notoire. Au contraire, parmi les trente et une recherches d’emploi produites par l’appelant, plus d’une dizaine sont adressées à des imprimeries, ce qui laisse penser que des postes sont au concours dans ce domaine. Dans tous les cas, cette considération est sans importance puisque le premier juge a imputé à l’appelant le salaire qu’il réalisait en qualité d’aide-charpentier. Aussi, contrairement à ce que l’appelant allègue dans sa procédure, le président n’a pas violé le droit puisqu’il a détaillé l’activité professionnelle qui pouvait raisonnablement être exigée de l’appelant. En effet, il est constant que l’appelant a exercé d’autres types de postes que celui d’imprimeur et qu’il cherche du travail</w:t>
      </w:r>
    </w:p>
    <w:p>
      <w:r>
        <w:t>- 16 - dans d’autres domaines que dans ladite industrie. En conséquence, même s’il était démontré que ce domaine tendait effectivement à disparaître, l’appelant reste en mesure d’exercer un autre type d’emploi, en particulier en qualité d’aide-charpentier comme relevé par le premier juge, ou dans un autre poste déjà exercé par l’appelant, comme aide-menuisier, aide- électricien ou chauffeur-livreur. S’agissant de la possibilité effective de l’appelant d’exercer l’activité ainsi déterminée et du revenu qu’il pourrait en obtenir, eu égard au large panel d’activités qui s’offre à l’appelant, il est très probable que l’appelant soit en mesure de retrouver du travail dans l’un de ces postes. Le fait pour l’appelant de faire des recherches d’emploi et de s’être inscrit auprès d’agences de placement et de l’Office régional de placement ne signifie pas encore que le marché du travail ne lui permet pas de retrouver un emploi. Ce d’autant moins que, pour les mois de janvier à octobre 2017, ses trente et une recherches d’emploi représentent une moyenne d’environ trois recherches par mois, ce qui n’est de loin pas suffisant. Son taux d’activité à 20% depuis le 10 juillet 2017 n’explique au demeurant pas cette faible moyenne. L’obligation d’entretien envers ses enfants mineurs justifient qu’il intensifie ses recherches d’emploi, y compris dans d’autres domaines que l’imprimerie. Aussi, le raisonnement du premier juge consistant à imputer à l’appelant le salaire de 3'790 fr. 35 qu’il réalisait en qualité d’aide- charpentier peut être confirmé. Ce revenu se situe d’ailleurs bien en- dessous de la moyenne du salaire réalisable par un aide-charpentier de 44 ans sans aucune expérience professionnelle dans la région lémanique selon le calculateur individuel de salaire (2014) de l’OFS (« Salarium »). Le montant retenu en première instance est également inférieur au salaire médian d’un aide-imprimeur de 44 ans sans aucune expérience professionnelle et à celui d’un chauffeur-livreur de 44 ans sans expérience, pour citer deux autres exemples.</w:t>
      </w:r>
    </w:p>
    <w:p>
      <w:r>
        <w:t>- 17 -</w:t>
      </w:r>
    </w:p>
    <w:p>
      <w:r>
        <w:rPr>
          <w:b/>
        </w:rPr>
        <w:t>E. 3.4.2</w:t>
      </w:r>
    </w:p>
    <w:p>
      <w:r>
        <w:t>L’argument de l’appelant selon lequel son revenu d’insertion ne laisse pas la place à l’imputation d’un revenu hypothétique tombe à faux, dès lors qu’au regard de la jurisprudence précitée, le fait pour un débirentier de toucher un revenu d’insertion ne dispense pas le juge civil d’examiner la possibilité de lui imputer un revenu hypothétique.</w:t>
      </w:r>
    </w:p>
    <w:p>
      <w:r>
        <w:rPr>
          <w:b/>
        </w:rPr>
        <w:t>E. 3.4.3</w:t>
      </w:r>
    </w:p>
    <w:p>
      <w:r>
        <w:t>L’appelant allègue que lui imputer un revenu hypothétique ne ferait qu’allonger sa liste de dettes, alors qu’il n’est déjà pas en mesure de subvenir aux besoin de son fils H.________. Toutefois, l’appelant n’a pas démontré l’état de ses dettes à l’égard de son fils, la pièce à l’appui de son argument ayant été déclarée irrecevable.</w:t>
      </w:r>
    </w:p>
    <w:p>
      <w:r>
        <w:rPr>
          <w:b/>
        </w:rPr>
        <w:t>E. 3.4.4</w:t>
      </w:r>
    </w:p>
    <w:p>
      <w:r>
        <w:t>Enfin, il n’est nullement démontré que les parties auraient convenu que l’appelant interromprait son travail en 2015 pour s’occuper de la fille du couple.</w:t>
      </w:r>
    </w:p>
    <w:p>
      <w:r>
        <w:rPr>
          <w:b/>
        </w:rPr>
        <w:t>E. 3.4.5</w:t>
      </w:r>
    </w:p>
    <w:p>
      <w:r>
        <w:t>Le grief soulevé par l’appelant est donc infondé.</w:t>
      </w:r>
    </w:p>
    <w:p>
      <w:r>
        <w:rPr>
          <w:b/>
        </w:rPr>
        <w:t>E. 4</w:t>
      </w:r>
    </w:p>
    <w:p>
      <w:r>
        <w:t>consid. 4a ; TF 5A_290/2010 du 28 octobre 2010 consid. 3.1, publié in SJ 2011 I 177). Les principes relatifs au revenu hypothétique valent tant pour le débiteur que pour le créancier d'entretien (TF 5A_838/2009 du 6 mai 2010, in : FamPra.ch 2010 n. 45 p. 669 ; TF 5P.63/2006 du 3 mai 2006 consid. 3.2).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w:t>
      </w:r>
    </w:p>
    <w:p>
      <w:r>
        <w:t>- 14 - supérieurs en travaillant ; il doit préciser le type d'activité professionnelle qu'elle peut raisonnablement devoir accomplir (TF 5A_99/2011 du 26 septembre 2011 consid. 7.4.1 ; TF 5A_218/2012 du 29 juin 2012 consid. 3.3.3, FamPra.ch 2012 p. 1099 ; TF 5A_748/2012 du 15 mai 2013 consid. 4.3.2.1 ; TF 5A_256/2015 du 13 août 2015 consid. 3.2.2 ; TF 5A_933/2015 du 23 février 2016 consid. 6.1). Ensuite, le juge doit établir si la personne a la possibilité effective d'exercer l'activité ainsi déterminée et quel revenu elle peut en obtenir, compte tenu des circonstances subjectives susmentionnées, ainsi que du marché du travail ; il s'agit là d'une question de fait (TF 5A_20/2013 du 25 octobre 2013 consid. 3.1 ; ATF 128 III 4 consid. 4c/bb ; ATF 126 III 10 consid. 2b). Pour arrêter le montant du salaire, le juge peut éventuellement se baser sur l'enquête suisse sur la structure des salaires réalisée par l'Office fédéral de la statistique (ci- après : OFS), ou sur d'autres sources (conventions collectives de travail par exemple; ATF 137 III 118 consid. 3.2, JdT 2011 II 486), pour autant qu'elles soient pertinentes par rapport aux circonstances d'espèce (TF 5A_112/2013 du 25 mars 2013 consid. 4.1.3). Il peut certes aussi se fonder sur l'expérience générale de la vie ; toutefois, même dans ce dernier cas, les faits qui permettent d'appliquer des règles d'expérience doivent être établis (TF 5A_152/2013 du 16 octobre 2013 consid. 3.2.2). Même en cas de changement non volontaire d'emploi, si le débirentier se contente sciemment d'une activité lucrative insuffisamment rémunérée, il doit se laisser imputer le revenu qu'il serait, eu égard aux circonstances du cas d'espèce, capable de réaliser en mettant à profit sa pleine capacité de gain (TF 5A_224/2016 du 13 juin 2016 consid. 3.3 ; TF 5A_59/2016 du 1er juin 2016 consid. 3.1, FamPra.ch 2016 p. 1059 ; TF 5A_782/2016 du 31 mai 2017 consid. 5.3). Il appartient à l’époux débirentier de démontrer avoir entrepris tout ce qui était en son pouvoir pour mettre pleinement à profit sa capacité de gain et pouvoir ainsi continuer à assumer son obligation d'entretien (TF 5A_782/2016 du 31 mai 2017 consid. 5.4 ; cf. ATF 143 III 233 consid. 3). Le fait qu'un débirentier bénéficie actuellement d'un revenu d'insertion ne dispense pas le juge civil d'examiner si l'on peut lui imputer</w:t>
      </w:r>
    </w:p>
    <w:p>
      <w:r>
        <w:t>- 15 - un revenu hypothétique. En effet, le juge civil n'est pas lié par l'instruction menée par les autorités administratives (TF 5A_248/2011 du 14 octobre 2011 consid. 4.1 ; TF 5A _763/2013 du 11 avril 2014, consid. 3.1).</w:t>
      </w:r>
    </w:p>
    <w:p>
      <w:r>
        <w:rPr>
          <w:b/>
        </w:rPr>
        <w:t>E. 4.1</w:t>
      </w:r>
    </w:p>
    <w:p>
      <w:r>
        <w:t>L’appelant conclut à ce qu’il puisse avoir sa fille auprès de lui un week-end sur deux, du vendredi soir à 18h00 au dimanche soir à 18h00, le mercredi après-midi et jusqu’au jeudi matin à la reprise de la garderie, de la maman de jour ou de l’école, ainsi que durant la moitié des vacances scolaires et des jours fériés. Il estime que le premier juge aurait violé le principe de l’égalité de traitement en permettant à la mère de recourir à des structures d’accueil pendant la semaine et de ne pas permettre au père d’avoir sa fille auprès de lui une nuit par semaine. Il se fonde sur le rapport d’évaluation du SPJ qui soulignerait l’importance de la relation père-fille et de l’élargissement du droit de visite du père.</w:t>
      </w:r>
    </w:p>
    <w:p>
      <w:r>
        <w:rPr>
          <w:b/>
        </w:rPr>
        <w:t>E. 4.2</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w:t>
      </w:r>
    </w:p>
    <w:p>
      <w:r>
        <w:t>- 18 - lieu les intérêts de l'enfant (ATF 131 III 209 consid. 5 ; TF 5A_618/2017 du 2 février 2018 consid. 4.2 ; TF 5A_568/2017 du 21 novembre 2017 consid. 5.1 ; TF 5A_184/2017 du 9 juin 2017 consid. 4.1 et les références). A cet égard, il est unanimement reconnu que le rapport de l'enfant avec ses deux parents est essentiel et qu'il peut jouer un rôle décisif dans le processus de recherche d'identité de l'enfant (ATF 127 III 295 consid. 4a ; ATF 123 III 445 consid. 3c ; TF 5A_618/2017 précité consid. 4.2 ; TF 5A_568/2017 précité consid. 5.1 ; TF 5A_586/2012 du 12 décembre 2012 consid. 4.2). Le droit aux relations personnelles vise à sauvegarder le lien existant entre parents et enfants (Hegnauer, Droit suisse de la filiation, 4e éd., 1998, n. 19). L'importance et le mode d'exercice des relations personnelles doivent être appropriés à la situation, autrement dit tenir équitablement compte des circonstances particulières du cas. Le critère déterminant pour l'octroi, le refus et la fixation des modalités du droit de visite est le bien de l'enfant ; dans chaque cas, la décision doit donc être prise de manière à répondre le mieux possible à ses besoins, l'intérêt des parents étant relégué à l'arrière-plan (TF 5A_246/2015 du 28 août 2015 consid. 3.1 ; ATF 127 III 295 consid. 4a). On tiendra notamment compte de l'âge de l'enfant, de son état de santé, de la relation qu’il entretient avec l’ayant droit, de ses loisirs, mais également de la personnalité, de la disponibilité et du cadre de vie de l’ayant droit et de la situation professionnelle ou de l’état de santé du parent qui élève l’enfant (Meier/Stettler, Droit de la filiation, 5e éd. 2014, n. 766 et les réf.). Des conditions particulières pour l'exercice du droit de visite peuvent en outre être imposées (Hegnauer, op. cit., n. 19.16).</w:t>
      </w:r>
    </w:p>
    <w:p>
      <w:r>
        <w:rPr>
          <w:b/>
        </w:rPr>
        <w:t>E. 4.3</w:t>
      </w:r>
    </w:p>
    <w:p>
      <w:r>
        <w:t>Le premier juge a retenu que le droit de visite se passait bien et que W.________ avait du plaisir à aller chez son père, de sorte qu’il convenait d’étendre ce droit de visite. Il a néanmoins considéré que, compte tenu de la nécessité pour R.________ de trouver un emploi à temps plein, il n’était pas adéquat que sa fille se rende chez lui une nuit par semaine, mais qu’il était préférable qu’il la reçoive un après-midi par semaine.</w:t>
      </w:r>
    </w:p>
    <w:p>
      <w:r>
        <w:t>- 19 -</w:t>
      </w:r>
    </w:p>
    <w:p>
      <w:r>
        <w:rPr>
          <w:b/>
        </w:rPr>
        <w:t>E. 4.4</w:t>
      </w:r>
    </w:p>
    <w:p>
      <w:r>
        <w:t>Tant l’UEMS que l’intimée et le président se sont montrés favorables à un élargissement du droit de visite de l’appelant sur sa fille. On ne saurait toutefois suivre l’avis du premier juge selon lequel la recherche, partant l’exercice, d’un emploi à temps plein empêcherait l’appelant de recevoir sa fille un soir par semaine. On ne voit pas en quoi il serait contre-indiqué pour le bien-être de W.________ qu’elle doive se lever un peu plus tôt un jour par semaine, quitte à la mettre au lit un peu plus tôt le soir précédent. D’ailleurs, les parties habitent actuellement dans le même immeuble, ce qui est à même de faciliter les modalités de « transfert » de l’enfant entre elles. L’intérêt prépondérant de l’enfant est ainsi sauvegardé. S’agissant du jour, en première instance, l’intimée avait conclu à ce que W.________ soit auprès de son père le lundi ou le jeudi après-midi. L’appelant avait indiqué quant à lui qu’il souhaitait pouvoir la garder la nuit du mercredi au jeudi ou du jeudi au vendredi. Le premier juge a finalement opté pour le jeudi après-midi. Or, l’appelant n’explique pas pourquoi il a renoncé en seconde instance à la solution du jeudi après- midi. Cette solution, admise par l’intimée en première instance et préconisée par le premier juge, paraît pourtant opportune et peut être ici confirmée, l’appelant n’avançant aucune raison de préférer le mercredi plutôt que le jeudi après-midi. Les parties garderont naturellement la possibilité de requérir un réexamen de la situation si un changement de situation devait le justifier. En conséquence, il convient de faire droit à la requête de l’appelant et de lui permettre d’avoir sa fille auprès de lui un week-end sur deux, du vendredi soir à 18h00 au dimanche soir à 18h00, du jeudi après- midi jusqu’au vendredi matin à 8h00, ainsi que durant la moitié des vacances scolaires et des jours fériés.</w:t>
      </w:r>
    </w:p>
    <w:p>
      <w:r>
        <w:t>- 20 -</w:t>
      </w:r>
    </w:p>
    <w:p>
      <w:r>
        <w:rPr>
          <w:b/>
        </w:rPr>
        <w:t>E. 5.1</w:t>
      </w:r>
    </w:p>
    <w:p>
      <w:r>
        <w:t>L’appelant relève que, quand bien même l’UEMS aurait préconisé l’instauration d’un mandat de surveillance au sens de l’art. 307 CC dans son rapport d’évaluation du 31 août 2017, la décision entreprise ne traiterait à aucun moment de cet aspect, de sorte qu’il conviendrait de confier ledit mandat au SPJ.</w:t>
      </w:r>
    </w:p>
    <w:p>
      <w:r>
        <w:rPr>
          <w:b/>
        </w:rPr>
        <w:t>E. 5.2</w:t>
      </w:r>
    </w:p>
    <w:p>
      <w:r>
        <w:t>Selon l’art. 307 CC, l’autorité de protection de l’enfant prend les mesures nécessaires pour protéger l’enfant si son développement est menacé et que les père et mère n’y remédient pas d’eux-mêmes ou soient hors d’état de le faire (al. 1). Elle peut, en particulier, rappeler les père et mère ou l’enfant à leurs devoirs, donner des indications ou instruction relatives au soin, à l’éducation et à la formation de l’enfant, et désigner une personne ou un office qualifiés qui aura un droit de regard et d’information (al. 3). L’autorité de protection de l’enfant est habilitée, en se fondant sur l’art. 307 al. 3 CC, à ordonner aux parents de mener une thérapie ou une médiation, afin de leur permettre de réaliser que la reprise d’un dialogue est dans l’intérêt de l’enfant (TF 5A_457/2009 du 9 décembre 2009 consid. 4.3 ; TF 5A_852/2011 du 20 février 2012 consid. 6). L'intérêt de l'enfant est la justification fondamentale de toutes les mesures des art. 307 ss CC. Les mesures de protection de l'enfant sont en outre régies par les principes de proportionnalité et de subsidiarité (Message du Conseil fédéral du 5 juin 1974 concernant la modification du Code civil suisse (Filiation) [Message], FF 1974 II p. 84), ce qui implique qu'elles doivent correspondre au degré de danger que court l'enfant en restreignant l'autorité parentale aussi peu que possible mais autant que nécessaire et n'intervenir que si les parents ne remédient pas eux-mêmes à la situation ou sont hors d'état de le faire ; elles doivent en outre compléter et non évincer les possibilités offertes par les parents eux- mêmes, selon le principe de complémentarité (Hegnauer, op. cit., nn. 27.09 à 27.12, pp. 185 ss). Le respect du principe de proportionnalité suppose que la mesure soit conforme au principe de l'adéquation et,</w:t>
      </w:r>
    </w:p>
    <w:p>
      <w:r>
        <w:t>- 21 - partant, propre à atteindre le but recherché (Moor/Flückiger/Martenet, Droit administratif, vol. I, 3e éd., Berne 2012, n. 5.2.1.3, p. 814 ; Knapp, Précis de droit administratif, 4e éd., Bâle 1991, n. 538, p. 114). Comme exposé ci-dessus (consid. 2.2.1), ce sont les maximes inquisitoire illimitée et d’office qui s’appliquent s’agissant des questions relatives aux enfants (art. 296 al. 1 et 2 CPC). Le tribunal n’est ainsi pas lié par les conclusions des parties (art. 296 al. 3 CPC). En particulier, l’autorité de protection de l’enfant ou le juge saisi peut prendre d’office des mesures au sens des art. 307ss CC (ATF 136 III 353 consid. 3.3).</w:t>
      </w:r>
    </w:p>
    <w:p>
      <w:r>
        <w:rPr>
          <w:b/>
        </w:rPr>
        <w:t>E. 5.3</w:t>
      </w:r>
    </w:p>
    <w:p>
      <w:r>
        <w:t>Dans son ordonnance, le premier juge a relevé que, dans son rapport d’évaluation, l’UEMS avait suggéré « d’instaurer un mandat de surveillance au sens de l’art. 307 CC afin de veiller au bon développement de W.________ dans un contexte parental très conflictuel ». Or, il ne s’est pas déterminé sur cette éventuelle mesure dans le dispositif de la décision.</w:t>
      </w:r>
    </w:p>
    <w:p>
      <w:r>
        <w:rPr>
          <w:b/>
        </w:rPr>
        <w:t>E. 5.4</w:t>
      </w:r>
    </w:p>
    <w:p>
      <w:r>
        <w:t>L’UEMS a relevé les conflits importants entre les parties, qui ne parviennent pas à communiquer hormis pour s’échanger des reproches et des accusations. Surtout, l’UEMS a constaté que cette hostilité se répercute sur l’enfant, qui le manifeste dans son comportement, ce que les parents eux-mêmes ont remarqué. Le fait qu’aucune des parties n’ait conclu à l’instauration de cette mesure devant la première instance n’est pas déterminant puisque, s’agissant des questions relatives aux enfants, le tribunal peut prendre même d’office des mesures au sens des art. 307ss CC. Aussi, il appert indispensable, dans l’intérêt de l’enfant, de suivre la suggestion formulée par l’UEMS et de compléter l’ordonnance entreprise en tant qu’une mesure de surveillance judiciaire au sens de l’art. 307 al. 3 CC en faveur de W.________ sera instituée, le SPJ étant désigné en qualité de surveillant judiciaire.</w:t>
      </w:r>
    </w:p>
    <w:p>
      <w:r>
        <w:t>- 22 -</w:t>
      </w:r>
    </w:p>
    <w:p>
      <w:r>
        <w:rPr>
          <w:b/>
        </w:rPr>
        <w:t>E. 6.1</w:t>
      </w:r>
    </w:p>
    <w:p>
      <w:r>
        <w:t>L’intimée a requis l’assistance judiciaire le 22 décembre 2017.</w:t>
      </w:r>
    </w:p>
    <w:p>
      <w:r>
        <w:rPr>
          <w:b/>
        </w:rPr>
        <w:t>E. 6.2</w:t>
      </w:r>
    </w:p>
    <w:p>
      <w:r>
        <w:t>En vertu de l’art. 117 CPC, une personne a droit à l’assistance judiciaire lorsqu’elle ne dispose pas de ressources suffisantes (let. a) et que sa cause ne paraît pas dépourvue de toute chance de succès (let. b). L’art. 118 al. 1 let. c CPC précise que la commission d’office d’un conseil juridique par le tribunal suppose que la défense des droits du requérant l’exige, en particulier lorsque la partie adverse est assistée d’un avocat. Il faut tenir compte à la fois d’éléments objectifs, tenant en particulier à la nature de la cause et au type de procédure appliquée, et d’éléments subjectifs fondés sur l’aptitude concrète de la partie concernée à procéder seule (Tappy, CPC commenté, Bâle 2011, n. 12 ad art. 118 CPC). L'octroi de l’assistance judiciaire obéit ainsi à deux conditions cumulatives, à savoir l’absence de ressources suffisantes et les chances de succès de la procédure, la commission d’un conseil d’office étant en outre soumise à une troisième condition, soit la nécessité de son intervention. Ces conditions coïncident avec celles découlant du droit à l’assistance judiciaire, tel que garanti par l’art. 29 al. 3 Cst.</w:t>
      </w:r>
    </w:p>
    <w:p>
      <w:r>
        <w:rPr>
          <w:b/>
        </w:rPr>
        <w:t>E. 6.3</w:t>
      </w:r>
    </w:p>
    <w:p>
      <w:r>
        <w:t>Compte tenu de sa situation financière et au regard des pièces déposées, l’intimée réalise les conditions fixées par l’art. 117 CPC, de sorte que l’assistance judiciaire peut lui être octroyée, Me Dominique-Anne Kirchhofer étant désignée comme son conseil d’office. L’intimée sera par ailleurs astreinte à verser une franchise mensuelle de 50 fr. dès et y compris le 1er avril 2018 en mains du Service juridique et législatif du Canton de Vaud en application de l’art. 123 CPC (art. 5 RAJ).</w:t>
      </w:r>
    </w:p>
    <w:p>
      <w:r>
        <w:rPr>
          <w:b/>
        </w:rPr>
        <w:t>E. 6.4</w:t>
      </w:r>
    </w:p>
    <w:p>
      <w:r>
        <w:t>Me Marina Fahrni, conseil d’office de l’appelant, a droit à une rémunération pour ses opérations et débours. Celle-ci a produit, le 19 mars 2018, une liste des opérations indiquant 5 heures et 50 minutes de travail consacré à la procédure de deuxième instance, ce qui peut être admis. L’indemnité d’office due à Me Marina Fahrni doit ainsi être arrêtée</w:t>
      </w:r>
    </w:p>
    <w:p>
      <w:r>
        <w:t>- 23 - à 1'050 fr. pour ses honoraires et 12 fr. 50 pour ses débours, plus TVA à 8% sur les opérations antérieures au 1er janvier 2018, soit 63 fr. 25, et une TVA de 7,7% sur les opérations postérieures au 1er janvier 2018, soit 20 fr. 95, pour une indemnité totale de 1'146 fr. 70. Me Dominique-Anne Kirchhofer, conseil d’office de l’intimée, a également droit à une rémunération pour ses opérations et débours. Celle- ci a produit, le 19 mars 2018, une liste des opérations indiquant 4 heures et 10 minutes de travail consacré à la procédure de deuxième instance, ce qui peut être admis. L’indemnité d’office due à Me Dominique-Anne Kirchhofer doit ainsi être arrêtée à 750 fr. pour ses honoraires et 15 fr. 30 pour ses débours, plus une TVA de 8% sur les opérations antérieures au 1er janvier 2018, soit 55 fr. 90, et une TVA de 7,7% sur les opérations postérieures au 1er janvier 2018, soit 5 fr. 15, pour une indemnité totale de 826 fr. 35.</w:t>
      </w:r>
    </w:p>
    <w:p>
      <w:r>
        <w:rPr>
          <w:b/>
        </w:rPr>
        <w:t>E. 7.1</w:t>
      </w:r>
    </w:p>
    <w:p>
      <w:r>
        <w:t>Les frais judiciaires de l'appel, arrêtés à 600 fr. (art. 65 aI. 2 TFJC [tarif des frais judiciaires civils du 28 septembre 2010 ; RSV 270.11.5]), sont mis à la charge de R.________ par 200 fr., puisqu’il a succombé sur une de ses trois conclusions (art. 106 al. 1 CPC), et à la charge de D.________ par 400 francs. Ces frais sont néanmoins provisoirement laissés à la charge de l’Etat, les parties bénéficiant de l’assistance judiciaire.</w:t>
      </w:r>
    </w:p>
    <w:p>
      <w:r>
        <w:rPr>
          <w:b/>
        </w:rPr>
        <w:t>E. 7.2</w:t>
      </w:r>
    </w:p>
    <w:p>
      <w:r>
        <w:t>D.________ versera également des dépens de deuxième instance à R.________, dont la charge peut être estimée, compte tenu de l’importance de la cause, de ses difficultés, de l’ampleur du travail, du temps consacré à cette procédure et du fait que l’appelant n’a pas obtenu gain de cause sur l’intégralité de ses conclusions, à 400 fr. (art. 3 al. 1 et 2 ainsi que 9 al. 2 TDC [tarif des dépens en matière civile du 23 novembre 2010 ; RSV 270.11.6]).</w:t>
      </w:r>
    </w:p>
    <w:p>
      <w:r>
        <w:t>- 24 - Les bénéficiaires de l’assistance judiciaire sont, dans la mesure de l’art. 123 CPC, tenus au remboursement des frais judiciaires et de l’indemnité de leur conseil d’office mis à la charge de l’Etat. Par ces motifs, la juge déléguée de la Cour d’appel civile prononce : I. L’appel est partiellement admis. II. L’ordonnance de mesures protectrices de l’union conjugale est modifiée au chiffre IV comme suit : IV. DIT qu’à défaut d’autre entente entre les parties, R.________ pourra avoir sa fille W.________ auprès de lui un week-end sur deux, du vendredi soir à 18h00 au dimanche soir à 18h00, du jeudi après-midi jusqu’au vendredi matin à 8h00, ainsi que durant la moitié des vacances scolaires et des jours fériés ; III. L’ordonnance de mesures protectrices de l’union conjugale est complétée par les chiffres suivants : IV bis. INSTITUE une mesure de surveillance judiciaire au sens de l’art. 307 al. 3 CC en faveur de l’enfant W.________, née le [...] 2013 ; IV ter. DESIGNE le Service de protection de la jeunesse, Office régional de protection des mineurs de l’Ouest vaudois, en qualité de surveillant judiciaire ; IV. L’ordonnance de mesures protectrices de l’union conjugale est confirmée pour le surplus.</w:t>
      </w:r>
    </w:p>
    <w:p>
      <w:r>
        <w:t>- 25 - V. L’assistance judiciaire est octroyée à D.________ avec effet au 22 décembre 2017, Me Dominique-Anne Kirchhofer étant désignée comme son conseil d’office pour la procédure d’appel, et D.________ étant astreinte à fournir une franchise mensuelle de 50 fr. (cinquante francs) dès et y compris le 1er avril 2018, à verser auprès du Service juridique et législatif, case postale, à 1014 Lausanne. VI. Les frais judiciaires de deuxième instance, arrêtés à 200 fr. (deux cents francs) pour R.________ et à 400 fr. (quatre cents francs) pour D.________, sont provisoirement laissés à la charge de l’Etat. VII. L’indemnité d’office de Me Marina Fahrni, conseil d’office de l’appelant R.________, est arrêtée à 1'146 fr. 70 (mille cent quarante-six francs et septante centimes), TVA et débours compris. VIII. L’indemnité d’office de Me Dominique-Anne Kirchhofer, conseil d’office de l’intimée D.________, est arrêtée à 826 fr. 35 (huit cent vingt-six francs et trente-cinq centimes), TVA et débours compris.</w:t>
      </w:r>
    </w:p>
    <w:p>
      <w:r>
        <w:t>- 26 - IX. Les bénéficiaires de l’assistance judiciaire sont, dans la mesure de l’art. 123 CPC, tenus au remboursement des frais judiciaires et de l’indemnité à leur conseil d’office mis à la charge de l’Etat. X. L’intimée doit verser à l’appelant la somme de 400 fr. (quatre cents francs) à titre de dépens de deuxième instance. XI. L’arrêt est exécutoire. La juge déléguée : Le greffier : Du Le présent arrêt, dont la rédaction a été approuvée à huis clos, est notifié en expédition complète à : - Me Marina Fahrni (R.________) - Me Dominique-Anne Kirchhofer (pour D.________) et communiqué, par l'envoi de photocopies, à : - M. le Président du Tribunal civil de l’arrondissement de La Côte - Service de protection de la jeunesse de l’Ouest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- 27 -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