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JS16.028790 vom 7. Oktober 2016</w:t>
      </w:r>
    </w:p>
    <w:p>
      <w:r>
        <w:t>VD Tribunal cantonal, 2016-10-07, FR</w:t>
      </w:r>
    </w:p>
    <w:p>
      <w:r>
        <w:rPr>
          <w:b/>
        </w:rPr>
        <w:t xml:space="preserve">Quelle: </w:t>
      </w:r>
      <w:r>
        <w:t>https://mcp.opencaselaw.ch/entscheid/vd_gerichte_JS16.028790</w:t>
      </w:r>
    </w:p>
    <w:p>
      <w:r>
        <w:t>FR: VD_GERICHTE JS16.028790 du 7 octobre 2016</w:t>
      </w:r>
    </w:p>
    <w:p>
      <w:r>
        <w:t>IT: VD_GERICHTE JS16.028790 del 7 ottobre 2016</w:t>
      </w:r>
    </w:p>
    <w:p>
      <w:pPr>
        <w:pStyle w:val="Heading2"/>
      </w:pPr>
      <w:r>
        <w:t>Erwägungen</w:t>
      </w:r>
    </w:p>
    <w:p>
      <w:r>
        <w:rPr>
          <w:b/>
        </w:rPr>
        <w:t>E. 3.1</w:t>
      </w:r>
    </w:p>
    <w:p>
      <w:r>
        <w:t>L'appel ne porte que sur l'attribution du domicile conjugal, y compris le garage attenant, dans lequel l'appelant affirme entreposer son matériel de jardinage (y compris un motoculteur et une tondeuse), qu'il ne saurait où stocker s'il était privé de la jouissance des locaux en question. Il en déduit ainsi un argument utilitaire en sa faveur qui aurait dû conduire</w:t>
      </w:r>
    </w:p>
    <w:p>
      <w:r>
        <w:t>- 7 - la première juge à lui attribuer la jouissance du domicile conjugal. Il conteste que l'atteinte à la santé dont l'intimée s'est prévalue à l'audience du 18 août 2016, de même que son incapacité passagère de conduire s'étendent sur une longue période, vu que son épouse a revendiqué la jouissance d'un véhicule ; ce dernier élément relativiserait par ailleurs le recours aux transports publics retenu par la décision attaquée comme un autre motif d'attribution du domicile conjugal à son épouse. Il conteste également que la situation financière de chacune des parties puisse jouer un rôle dans l'attribution du domicile conjugal et fait enfin valoir son incompétence informatique et administrative, qui l'entraverait dans les démarches nécessaires à son relogement, contrairement à l'intimée qui se serait chargée de la partie administrative et financière durant la vie commune.</w:t>
      </w:r>
    </w:p>
    <w:p>
      <w:r>
        <w:rPr>
          <w:b/>
        </w:rPr>
        <w:t>E. 3.2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le cas échéant, l'intérêt de l'enfant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w:t>
      </w:r>
    </w:p>
    <w:p>
      <w:r>
        <w:t>- 8 -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réf. ; FamPra.ch. 2015 p. 403; TF 5A_951/2013 du 27 mars 2014 consid. 4.1; TF 5A_ 930/2012 du 16 mai 2013 consid. 3.3.2; TF 5A_416/2012 du 13 septembre 2012 consid. 5.1, SJ 2013 1159; TF 5A_766/2008 du 4 février 2009 consid. 3, JdT 2010 I 341; ATF 120 II 1 consid. 2c).</w:t>
      </w:r>
    </w:p>
    <w:p>
      <w:r>
        <w:rPr>
          <w:b/>
        </w:rPr>
        <w:t>E. 3.3</w:t>
      </w:r>
    </w:p>
    <w:p>
      <w:r>
        <w:t>En l’espèce, il ressort du dossier de la cause que la séparation des parties a suivi l'expulsion du recourant, le 15 juin 2016, du domicile conjugal ensuite de violence conjugale de son fait, alors qu'il était alcoolisé selon ses dires. L'organisation de la vie séparée a ainsi été réglée par voie de mesures superprovisionnelles à l'audience du 23 juin 2016, l'épouse se voyant attribuer provisoirement la jouissance du domicile conjugal jusqu'à la décision à intervenir par voie de mesures protectrices de l’union conjugale.</w:t>
      </w:r>
    </w:p>
    <w:p>
      <w:r>
        <w:t>- 9 - Dans sa requête, l'intimée a revendiqué la possibilité de rester dans le domicile conjugal au vu du comportement violent dont elle avait été victime de la part son mari. Celui-ci a quant à lui fait valoir la difficulté à se reloger, aggravée par son incapacité en matière administrative et financière et l'absence de proches susceptibles de l'assister dans ses démarches, ainsi que la nécessité d'entreposer dans le garage ses outils, son motoculteur et autre matériel de jardinage. Le fait que l’appelant disposerait d'outillage ou de matériel, pour lequel il a offert la preuve par l'interrogatoire des parties, ne ressort pas du dossier et la décision n'en fait aucune mention. L'argument utilitaire de l'usage du garage pour entreposer son matériel n'est ainsi pas rendu vraisemblable en l'état. Pour le surplus, l'atteinte à la santé de l'épouse pour cause de maladie est rendue vraisemblable par les certificats au dossier, de même que le fait que celle-ci était professionnellement active avant sa maladie, qu'elle a été licenciée et qu'elle devra rechercher un emploi, ne pouvant prétendre à la retraite prochainement (cf. let. C/6 supra). Ces éléments constituent des arguments utilitaires plaidant en faveur de l'attribution du logement à l'intimée, ainsi que la décision attaquée l'a reconnu à bon droit : d'une part, la proximité avec les transports publics favorise la recherche voire la prise d'emploi ; à cet égard, la jouissance d'un véhicule ne sera pas forcément compatible à long terme avec les ressources des parties, de sorte que l'intimée devra probablement y renoncer, sauf impératif professionnel ; d'autre part, en raison de son activité professionnelle, respectivement de ses recherches d'emploi, l'intimée dispose de moins de temps pour rechercher un logement. On ajoutera que l’appelant a de fait déjà trouvé à se loger provisoirement et qu'il a dû quitter le domicile conjugal pour des motifs qui lui sont imputables et dont il ne peut se prendre qu'à lui-même, au vu du contenu du rapport d'intervention policière et de son audition lors de l'audience de validation, dont il ressort que la violence conjugale invoquée par l'intimée est vraisemblable.</w:t>
      </w:r>
    </w:p>
    <w:p>
      <w:r>
        <w:t>- 10 - Au surplus, comme relevé par la première juge, les ressources de l’intimée sont inférieures à celles de l’appelant, ce qui la défavorise dans la recherche d'un logement. Pour ces motifs, l'attribution de la jouissance du domicile conjugal à l'intimée est justifiée. Le grief, mal fondé, doit donc être rejeté.</w:t>
      </w:r>
    </w:p>
    <w:p>
      <w:r>
        <w:rPr>
          <w:b/>
        </w:rPr>
        <w:t>E. 4</w:t>
      </w:r>
    </w:p>
    <w:p>
      <w:r>
        <w:t>Il résulte de ce qui précède que l'appel doit être rejeté selon la procédure de l'art. 312 al. 1 in fine CPC et le prononcé confirmé. Les frais judiciaires de deuxième instance, arrêtés à 600 fr. (art. 65 al. 2 TFJC [tarif des frais judiciaire civils du 28 septembre 2010 ; RSV 270.11.5]), seront mis à la charge de l’appelant, qui succombe (art. 106 al. 1 CPC). L’intimée n’ayant pas été invitée à se déterminer sur l’appel, il n’y a pas lieu de lui allouer de dépens de deuxième instance. Par ces motifs, la juge déléguée de la Cour d’appel civile prononce : I. L’appel est rejeté. II. Le prononcé est confirmé. III. Les frais judiciaires de deuxième instance, arrêtés à 600 fr. (six cents francs), sont mis à la charge du recourant B.V.________. IV. L’arrêt motivé est exécutoire.</w:t>
      </w:r>
    </w:p>
    <w:p>
      <w:r>
        <w:t>- 11 - La juge déléguée : Le greffier : Du 11 octobre 2016 Le dispositif du présent arrêt est communiqué par écrit aux intéressés. Le greffier : Du Le présent arrêt, dont la rédaction a été approuvée à huis clos, est notifié en expédition complète à : - Me Véronique Fontana (pour B.V.________), - Me Franck-Olivier Karlen (pour C.V.________),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- 12 -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