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JS16.021150 vom 16. Januar 2017</w:t>
      </w:r>
    </w:p>
    <w:p>
      <w:r>
        <w:t>VD Tribunal cantonal, 2017-01-16, FR</w:t>
      </w:r>
    </w:p>
    <w:p>
      <w:r>
        <w:rPr>
          <w:b/>
        </w:rPr>
        <w:t xml:space="preserve">Quelle: </w:t>
      </w:r>
      <w:r>
        <w:t>https://mcp.opencaselaw.ch/entscheid/vd_gerichte_JS16.021150</w:t>
      </w:r>
    </w:p>
    <w:p>
      <w:r>
        <w:t>FR: VD_GERICHTE JS16.021150 du 16 janvier 2017</w:t>
      </w:r>
    </w:p>
    <w:p>
      <w:r>
        <w:t>IT: VD_GERICHTE JS16.021150 del 16 gennaio 2017</w:t>
      </w:r>
    </w:p>
    <w:p>
      <w:pPr>
        <w:pStyle w:val="Heading2"/>
      </w:pPr>
      <w:r>
        <w:t>Erwägungen</w:t>
      </w:r>
    </w:p>
    <w:p>
      <w:r>
        <w:rPr>
          <w:b/>
        </w:rPr>
        <w:t>E. 43</w:t>
      </w:r>
    </w:p>
    <w:p>
      <w:r>
        <w:t>et les réf. citées). Ces exigences s’appliquent aux litiges régis par la maxime inquisitoire (TF 4A_228/2012 du 28 août 2012 consid. 2.2, publié in ATF 138 III 625). Une solution plus souple peut toutefois être envisagée lorsque la cause est régie par la maxime d’office, par exemple lorsque le litige porte sur la situation d'enfants mineurs en droit matrimonial (Tappy, op. cit., JdT 2010 III 139), à tout le moins lorsque le juge de première instance a violé la maxime inquisitoire illimitée (JdT 2011 III 43 et les réf. citées).</w:t>
      </w:r>
    </w:p>
    <w:p>
      <w:r>
        <w:t>- 15 - En l’espèce, il y a lieu de s’en tenir au cadre strict délimité par la loi, le litige ne portant pas sur le sort d’enfants mineurs. L’appelant a produit, les 25 août et 21 décembre 2016, deux onglets comprenant treize pièces. La pièce 1 (échange de sms entre les parties), non datée, est irrecevable. La pièce 3 (liste des locataires au 1er janvier 2016 de l’immeuble de La Sarraz), qui ne porte ni date ni signature, figure certes au dossier de première instance, mais elle n’a en elle-même aucune force probante, à moins qu’elle soit accompagnée de justificatifs. Quant aux pièces 2 (extraits de l’agenda de l’intimée pour la période de novembre 2015 à avril 2016), 5 (factures de [...] des 8 mars et 29 novembre 2015, ainsi que 26 mars 2016), 6 (facture d’acompte de [...] du 10 juin 2016) et 7 (convention du 4 juin 2013 entre A.Q.________ et [...] relatif à la mise à disposition d’un pâturage), elles sont irrecevables, dès lors qu'elles auraient pu être produites en première instance et que l’appelant ne démontre pas en quoi il aurait été empêché de le faire. Les pièces 3bis et 4 figurent déjà au dossier de première instance. Il en va de même des pièces 8 à 12, qui ont été produites devant le premier juge à l’audience du 21 décembre 2016. Le 16 janvier 2017, l’appelant a produit un bordereau de douze pièces complémentaires. Dès lors que ces pièces nouvelles sont postérieures à l’audience de première instance, elles sont recevables. Sont également recevables les autres pièces produites hors bordereau par l’appelant, lesquelles ont été prises en compte dans la mesure de leur utilité. Il en va de même des pièces produites par l’intimée à l’audience d’appel, dont l’une (certificat médical du Dr F.________ du 6 décembre 2016) figure d’ailleurs déjà au dossier de première instance. L’appelant a requis production de toutes pièces attestant, d’une part, du fait que l’intimée avait commencé un nouvel emploi dès le</w:t>
      </w:r>
    </w:p>
    <w:p>
      <w:r>
        <w:t>- 16 - 1er juillet 2016, et, d’autre part, des conséquences de l’accident que celle- ci avait semble-t-il subi durant le mois de juillet 2016, en particulier d’un éventuel versement de prestations de l’assurance-accident. Il a été fait droit à ces mesures d’instruction, ainsi qu’à celle tendant à la production par B.Q.________ de ses relevés bancaires et postaux pour les mois d’octobre, novembre et décembre 2016. Il n’a en revanche pas été donné suite aux réquisitions de l’appelant s’agissant de la production par l’intimée de pièces concernant son état de santé – cette question ayant été instruite à l’audience d’appel – et de celles relatives à son voyage aux Etats-Unis en octobre 2016, ces pièces – dont la production a également été demandée dans le cadre de la procédure de mesures provisionnelles introduite par requête de l’intimée du 10 octobre 2016 – n’étant pas de nature à apporter des éléments pertinents pour le jugement de la présente cause. 2.3 S’agissant de la contribution d’entretien envers le conjoint, en l'absence d'enfant mineur concerné par l'issue du litige, la maxime des débats, assortie du devoir d’interpellation du juge (art. 277 al. 2 CPC : Hohl, Procédure civile, tome II, 2e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op. cit., n. 3 ad art. 55 CPC).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w:t>
      </w:r>
    </w:p>
    <w:p>
      <w:r>
        <w:t>- 17 -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3. 3.1 3.1.1 Le juge fixe, en application de l’art. 163 CC (Code civil suisse du 10 décembre 1907 ; RS 210), le principe et le montant la contribution pécuniaire à verser par l’une des parties à l’autre selon l’art. 176 al. 1 ch. 1 CC. Les contributions d’entretien sont calculées sur la base des revenus et charges de chaque conjoint. Sont notamment pris en compte les revenus effectifs ou effectivement réalisables des parties, soit s’agissant des revenus du travail, le revenu net, cotisations sociales déduites. En cas de revenus variables, par exemple pour un indépendant, une moyenne doit être effectuée sur plusieurs années. Sont également prises en compte les indemnités ou rente d’assurances, les allocations familiales et complémentaires, de même que les revenus de la fortune, tels que les revenus d’un immeuble, les revenus de capitaux ou les dividendes (cf. Guillod/Burgat, Droit des familles, Bâle 2016, 4e éd., n. 598). 3.1.2 Tant le débiteur d’entretien que le créancier peuvent se voir imputer un revenu hypothétique supérieur à leur revenu effectif. Il s’agit ainsi d’inciter la personne à réaliser le revenu qu’elle est en mesure de se procurer et dont on peut raisonnablement exiger d’elle qu’elle l’obtienne afin de remplir ses obligations (ATF 128 III 4 consid. 4a ; TF 5A_99/2011 du 26 septembre 2011 consid. 7.4.1, publié in FamPra.ch 2012 p. 228 ; TF 5A_290/2010 du 28 octobre 2010 consid. 3.1, publié in SJ 2011 I 177). Lorsque le juge examine la possibilité d'imputer à l'un des époux un revenu hypothétique supérieur à celui obtenu effectivement, il doit examiner successivement les deux conditions suivantes : il doit avant tout juger si l'on peut raisonnablement exiger de cette personne qu'elle</w:t>
      </w:r>
    </w:p>
    <w:p>
      <w:r>
        <w:t>- 18 -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 il s'agit là d'une question de fait (TF 5A_181/2014 du 4 juin 2014 consid. 4.3 et les réf. citées). 3.1.3 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 JdT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consid. 3b p. 100 et les arrêts cités ; TF 5A_ 205/2010 consid. 4.2.3, publié in FamPra.ch 2010 p. 889).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primes d’assurance-maladie obligatoire, les frais de</w:t>
      </w:r>
    </w:p>
    <w:p>
      <w:r>
        <w:t>- 19 -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citées ; Bastons Bulletti, L'entretien après divorce: méthodes de calcul, montant, durée et limites, SJ 2007 II 84-88). 3.2 L’appelant, qui ne conteste pas l’application par le premier juge de la méthode du minimum vital avec répartition de l’excédent, fait tout d’abord valoir que le revenu de l’intimée serait supérieur au montant de 2'068 fr. retenu dans l’ordonnance attaquée. Il s’appuie à cet égard sur l’extrait de l’agenda de l’intimée figurant sous pièce 2 du bordereau du 25 août 2016, dont il ressortirait que son épouse, contrairement à ce qu’elle a affirmé, continuerait à dispenser, à raison de trois à quatre fois par mois, des cours d’éducation canine contre rémunération. Cette pièce ayant été déclarée irrecevable en appel (consid. 2.2 supra), l’argument tombe à faux, aucun élément au dossier ne permettant par ailleurs de s’écarter des explications que l’intimée a données sur ce point à l’audience du 16 janvier 2017, confirmant ses précédentes déclarations. L’appelant s’appuie ensuite sur les pièces requises en appel (pièces 51 et 52) pour étayer son raisonnement. Or, il ressort de ces pièces que le taux d’activité de l’intimée a été réduit à 30 % à compter du 1er juillet 2016 et que son revenu mensuel net, part au treizième salaire et indemnités de vacances et de jours fériés incluses, était de 2'174 fr. 35 en juillet 2016, 1'172 fr. 60 en août 2016 et 2'013 fr. 80 en septembre 2016, soit une moyenne de 1'786 fr. 90, inférieure aux 2'068 fr. retenus. Quant au montant de 1'662 fr. 85 figurant sur le décompte de salaire de juillet 2016 et versé, semble-t-il, à titre d’indemnités journalières maladie (« comp.int.jour.mal. »), il apparaît vraisemblable qu’il a été perçu à titre de réparation de la perte de gain subie par l’intimée à cause de son incapacité de travail de mai et/ou juin 2016 attestée par le Dr F.________. S’agissant du montant – peu lisible – de « 1'908 fr. 65 » indiqué sur le décompte de salaire de septembre 2016 semble-t-il comme indemnités journalières accident (« comp.int.jour.accid. ») – dont on ignore à quoi il se</w:t>
      </w:r>
    </w:p>
    <w:p>
      <w:r>
        <w:t>- 20 - réfère –, le document produit ne suffit pas à rendre vraisemblable son versement en sus du salaire perçu pour le mois en question, pas plus qu’il ne permet d’établir le montant du gain assuré de l’intimée pour le calcul des indemnités journalières versées. L’appelant échoue ainsi à démontrer, même au stade de la vraisemblance, que le revenu mensuel net perçu par l’intimée aurait été supérieur au montant de 2'068 fr. retenu par le premier juge, lequel peut dès lors être confirmé, s’agissant de la période du 1er mai au 31 décembre 2016. Pour la période postérieure au 1er janvier 2017, B.Q.________ a déclaré, lors de l’audience d’appel, qu’elle était apte à travailler à 100 %, qu’elle cherchait un travail à plein temps à compter de cette date et qu’elle pourrait peut-être augmenter son taux de travail à 100 % à partir du mois de septembre 2017 auprès de son actuel employeur. Sur la base de ces déclarations, A.Q.________ a pris une conclusion nouvelle en ce sens qu’il soit dit qu’il ne verserait aucune contribution d’entretien en faveur de B.Q.________ dès et y compris le 1er janvier 2017, son épouse pouvant se voir imputer un revenu hypothétique. Or, la prise de conclusions nouvelles en appel doit être admise restrictivement, car elle porte atteinte au principe du double degré de juridiction. La loi pose deux conditions cumulatives à leur recevabilité : la prétention nouvelle ou modifiée doit non seulement relever de la procédure applicable en appel mais encore – sauf renonciation de la partie adverse à cette autre condition – présenter un lien de connexité avec l’objet de l’appel. Par ailleurs, les conclusions nouvelles ne sont recevables que dans la mesure où elles reposent sur des faits et moyens de preuve nouveaux, lesquels doivent bien évidemment être recevables en appel en application de l’art. 317 al. 1 CPC (Jeandin, CPC commenté, Bâle 2011, nn. 10 à 12 ad art. 317 CPC). En principe, les faits et moyens de preuves nouveaux doivent être déposés avec le mémoire d’appel, respectivement avec le mémoire de réponse ; ils peuvent toutefois exceptionnellement être produits ultérieurement, lorsque l’autorité d’appel ordonne un second</w:t>
      </w:r>
    </w:p>
    <w:p>
      <w:r>
        <w:t>- 21 - échange d’écritures ou lorsqu’elle cite les parties à une audience (ATF 142 III 413 consid. 2.2.4 et 2.2.5, SJ 2017 I 16). En l’occurrence, la question de savoir si la conclusion nouvelle prise par A.Q.________ à l’audience d’appel est recevable peut demeurer ouverte, dès lors qu’on ne saurait, sur le principe, imputer à l’intimée un revenu hypothétique en 2016, au vu de son état de santé à l’époque, ni lui reprocher, pour 2017, de faire preuve de mauvaise volonté en travaillant à 50% au lieu de 100%, l’intéressée effectuant actuellement des recherches pour un emploi à plein temps et une solution dans ce sens auprès de son actuel employeur n’étant pas exclue, selon ses propres déclarations. Il convient donc de s’en tenir, en l’état, au revenu effectif de B.Q.________. Il ressort de son contrat de travail du 19 décembre 2016 – produit le 21 décembre 2016 – que depuis le 19 décembre 2016, la prénommée travaille à 50 % en qualité d’aide de laboratoire dans une [...] à [...], pour un salaire horaire de 24 fr., plus 12.97 % (2.33 % pour les jours fériés + 10.64% pour les vacances), soit 27 fr. 11 (cf. art. 22 al. 2 de la Convention collective de travail de la [...] suisse [ci-après : CCT] [pièce 22 du bordereau III du 16 janvier 2017]). Compte tenu de la durée moyenne normale de la semaine de travail de 42 heures (art. 15 al. 1 CCT) et du fait que pour les employé(e)s percevant un salaire horaire, il faut tenir compte des suppléments pour vacances et des indemnités pour jours fériés dans le calcul du treizième salaire (art. 13 al. 2 CCT), le revenu mensuel brut de l’intimée peut être fixé à 2'467 fr. 75 ([21 h x 27 fr. 11 x 52 semaines] / 12), soit 2'673 fr. 40, treizième salaire inclus, ce qui correspond, après déductions des cotisations sociales, à un salaire mensuel net de 2'430 fr., soit 362 fr. de plus que le revenu retenu par le premier juge pour la période antérieure au 1er janvier 2017, ce dont il faudra tenir compte dans le calcul de la contribution d’entretien due par l’appelant. 3.3 A.Q.________ reproche ensuite au premier juge d’avoir inclus, dans les charges essentielles de B.Q.________, un montant forfaitaire de 330 fr. par mois – correspondant à l’abonnement général – à titre de frais de transport, sans même connaître le lieu de domicile de l’intimée.</w:t>
      </w:r>
    </w:p>
    <w:p>
      <w:r>
        <w:t>- 22 - Dès la séparation d’avec son époux survenue fin avril 2016, B.Q.________ a habité – et habite encore – à Gland, comme cela ressort de l’adresse figurant sur le formulaire « droits et obligations » annexé au procès-verbal de son audition-plainte du 11 mai 2016 (cf. ég. l’adresse figurant sur le bulletin de versement du 17 octobre 2016 produit le 28 novembre 2016), quand bien même elle mentionne, sur la page de garde de sa réponse à l’appel, son ancienne adresse de Bettens. La prénommée ayant été en incapacité de travail à 100 % du 3 mai au 30 juin 2016, aucun frais de déplacement ni de repas lié à l’exercice de la profession ne peut être retenu pour cette période ; toutefois, vu l’excédent que présente la situation financière des parties (consid. 4.3 infra), on admettra ex aequo et bono un montant de 30 fr. par mois à titre de frais de transport usuels (loisirs, magasins etc.). Ensuite, l’intéressée ayant, à compter du 1er juillet 2016, travaillé à un taux de 30 % à Etoy, sans qu’il ait été démontré qu’elle avait besoin d’un véhicule pour se rendre au travail, comme le premier juge l’a indiqué (selon le service de cartographie en ligne « Google Maps », les anciennes adresses de la requérante à Gland, d’abord à la [...], puis [...], se situaient à proximité des transports publics), le coût de son abonnement mensuel Mobilis, à 137 fr. (pour 4 zones ; cf. site http://www.mobilis-vaud.ch/tarifs-mobilis/), doit être retenu selon le même pourcentage, soit 41 fr. 10. Il en va de même des frais de repas, qui, à raison de 10 fr. par jour, seront réduits à 30 % de leur valeur, soit 65 fr. 10 (10 x 21.7 x 30 %). Ainsi, pour la période du 1er mai au 31 décembre 2016, 306 fr. 60 ([30 fr. x 2 mois] + [41 fr. 10 x 6 mois]) doivent être retenus à titre de frais de transport, soit une moyenne de 38 fr. 30 par mois, et 48 fr. 80 à titre de frais de repas ([65 fr. 10 x 6 mois] / 8 mois). Enfin, dès lors que la requérante travaille à Gland depuis le 19 décembre 2016 à hauteur de 50 %, qu’aucun revenu hypothétique ne lui a été imputé (consid. 3.2 supra) et qu’elle a elle-même affirmé n’avoir pas besoin de voiture pour se rendre à son lieu de travail, on retiendra le coût de son abonnement mensuel Mobilis à 66 fr. (pour une zone), lequel doit être réduit, à compter du 1er janvier 2017 à tout le moins, à 50 % de sa valeur, soit 33 francs. L’intéressée ayant ajouté qu’elle mangeait chez elle depuis qu’elle travaillait à Gland, aucun frais de repas ne sera retenu pour la période postérieure au 1er janvier 2017.</w:t>
      </w:r>
    </w:p>
    <w:p>
      <w:r>
        <w:t>- 23 - 3.4 L’appelant conteste, en ce qui le concerne, le montant retenu à titre de revenu pour l’immeuble de La Sarraz de 4'960 fr., qui serait selon lui excessif. Le premier juge s’est basé sur les loyers encaissés en 2012 de 104'418 fr., et non sur ceux encaissés en 2014 de 88'350 fr., comme il l’avait fait pour les deux autres immeubles, au motif que l’année 2014 était une année particulière pour ce bien immobilier en raison de problèmes que l’appelant avait rencontrés avec des locataires qui n’avaient pas payé leur loyer, ce qui expliquait la diminution de revenus entre ces deux années. On ne saurait suivre ce raisonnement. Il ressort en effet des récapitulatifs de 2012, 2013 et 2014 que les revenus locatifs nets de l’immeuble de La Sarraz de 2014, de 62'690 fr. 15, se rapprochent de ceux de 2013, de 67'792 fr. 80, de sorte que c’est bien plutôt l’année 2012, avec 80'087 fr. 30 de revenus nets, qui apparaît comme étant une année particulière, sans que l’on puisse déterminer, en l’état, les raisons exactes de cette différence de revenus, les explications du premier juge s’appuyant uniquement sur les propos non verbalisés de l’appelant – que celui-ci conteste d’ailleurs – n’étant pas suffisantes à cet égard. La pièce 3 du bordereau produit en appel, sur laquelle figure la liste des locataires et les loyers respectifs au 1er janvier 2016, n’étant pas suffisante à cet égard dans la mesure où elle n’est pas accompagnée de justificatifs, il y a lieu – pour établir le revenu annuel de 2016, de s’en tenir à la moyenne des revenus de 2013 et 2014, soit 65'241 fr. 50 ([67'792 fr. 80 + 62'690 fr. 15] / 2), dont à déduire 20'572 fr. d’intérêts hypothécaires – tels que retenus par le premier juge –, soit 3'722 fr. 45 par mois ([65'241 fr. 50 – 20'572 fr.] / 12). Le revenu mensuel net d’A.Q.________ pour l’année 2016 se compose donc de la manière suivante (montants arrondis) : - revenus locatifs « O.________ » (36'665 - 12'600 / 12) 2'005 fr.</w:t>
      </w:r>
    </w:p>
    <w:p>
      <w:r>
        <w:t>- 24 - - revenus locatifs La Sarraz (65'241 - 20'572 / 12) 3'722 fr. - revenus locatifs Bettens (26'880 – 21’161 / 12) 477 fr. - versement mensuel [...] (lié à la remise de son domaine) 1'500 fr. TOTAL 7'704 fr. Quant à l’année 2017, l’explication qu’A.Q.________ a donnée à l’audience d’appel selon laquelle le revenu locatif de l’immeuble de La Sarraz devrait être réduit afin de tenir compte de la résiliation de bail par la locataire [...] pour fin février 2017 n’est pas pertinente, dès lors que le prénommé, qui connaissait la fin du bail depuis plusieurs mois (cf. lettre de la locataire [...] du 21 octobre 2016), ne rend pas vraisemblable qu’il aurait fait le nécessaire pour relouer les locaux, les « pancartes » qu’il affirme avoir mises à l’extérieur n’étant à cet égard manifestement pas suffisantes. S’agissant ensuite des travaux qui, selon ses dires, devraient débuter au printemps prochain, outre le fait qu’ils n’empêchent pas en soi que les locaux soient entretemps reloués, on ignore la baisse effective de revenus que ces travaux engendreraient. On ne saurait en conséquence, en l’état, en tenir compte. Concernant l’allégation de B.Q.________ selon laquelle il pourrait être imputé à A.Q.________ un revenu hypothétique (réponse, p. 3), outre le fait que l’intimée n’a rien allégué de tel dans sa requête de mesures protectrices du 9 mai 2016, alors qu’elle savait que son époux n’exerçait plus aucune activité professionnelle, ce qui rend son allégation irrecevable, on ne peut par ailleurs raisonnablement exiger de celui-ci qu’il reprenne, en l’état, une activité lucrative, vu son âge (60 ans), ses revenus immobiliers et son état de santé, quand bien même ses problèmes de santé – déjà invoqués en première instance (jugt, p. 18) – ne sont pas documentés, de sorte qu’on ne saurait, sur le principe, lui imputer un revenu hypothétique. Le fait que l’appelant ait, en 2015, effectué des travaux d’entretien de sa maison conjugale à raison de 1'680 heures, soit l’équivalent de 42 semaines à 40 heures, comme il l’a lui- même admis (cf. le document « décomptes des factures et des travaux à [...] au 30 mai 2016 » produit en première instance), n’est pas pertinent, puisqu’à l’époque, les époux vivaient encore ensemble et qu’il souffre,</w:t>
      </w:r>
    </w:p>
    <w:p>
      <w:r>
        <w:t>- 25 - depuis lors, de problèmes de santé limitant le temps qu’il peut consacrer à un tel entretien (let. C/6a supra). Enfin, l’intimée n’apporte aucun élément probant à son allégation selon laquelle la situation de l’appelant se serait améliorée en raison du fait qu’il ferait ménage commun avec une nouvelle compagne. 3.5 A.Q.________ fait encore valoir que divers postes auraient dû être inclus dans ses charges essentielles. 3.5.1 Il réclame tout d’abord la prise en compte de frais de chauffage par 5'000 fr. par an pour l’achat de pellets et de frais de [...] par 1'550 fr. par an pour son immeuble de Bettens. Or, les pièces 5 et 6 produites en appel à l’appui de ce moyen sont irrecevables (consid. 2.2 supra). Figurent certes au dossier de première instance des récépissés postaux faisant état de montants versés à « [...] » et à « [...] ». Toutefois, il n’y a pas lieu d’en tenir compte dès lors que le premier juge a déjà déduit, à titre de frais d’entretien, un montant forfaitaire de 20 % du revenu locatif annuel, soit 6'720 francs. Or, l’intéressé ne remet pas en cause le calcul du premier juge, prévu d’ailleurs par l’art. 3 RDIF (Règlement sur la déduction des frais relatifs aux immeubles privés du 8 janvier 2001 ; RSV 642.11.2). Il ressort du reste de la pièce « mes revenus » produite en première instance par l’appelant que celui-ci a lui- même procédé à l’estimation des frais d’entretien de l’immeuble de Bettens en calculant le 20 % du revenu locatif. On ne saurait donc retenir, en sus du montant forfaitaire de charges, des frais de chauffage et d’électricité. De surcroît, comme le premier juge l’a à juste titre indiqué, dès lors que ce montant forfaitaire a déjà été porté en déduction des revenus locatifs de l’immeuble de Bettens, il n’y pas lieu de retenir des frais de logement pour l’intimé. 3.5.2 S’agissant ensuite des 300 fr. qu’A.Q.________ verserait à [...] pour la location d’un terrain à Bettens, ils ne reposent sur aucune pièce et ne seront dès lors pas retenus, la pièce 7 du bordereau produit en appel – sur laquelle l’appelant se fonde – étant irrecevable (consid. 2.2 supra).</w:t>
      </w:r>
    </w:p>
    <w:p>
      <w:r>
        <w:t>- 26 - 3.5.3 A.Q.________ réclame la prise en compte de ses frais de véhicule (essence et assurance) à hauteur de 650 francs. Selon la jurisprudence,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En l’espèce, dès lors qu’A.Q.________ habite loin des transports publics, ce qui n’est pas contesté, il y a lieu d’admettre, contrairement à ce qu’a retenu le premier juge, que la voiture lui est nécessaire pour se déplacer dans le cadre de la gestion de ses biens immobiliers et pour ses loisirs. L’intéressé n’ayant produit aucun document pour ses frais d’essence, d’entretien, d’assurance ou de taxe automobile, ceux-ci peuvent être estimés ex aequo et bono à 400 francs. 3.5.4 Quant à la prime d’assurance-maladie de l’appelant, il y a lieu de s’en tenir au montant admis par le premier juge de 601 fr. 70, l’appelant n’ayant produit aucune attestation de son assurance-maladie pour 2017. La pièce 17 du bordereau III faisant état d’un montant de 1'340 fr. 40 – dont on ignore à quoi il correspond – n’est à cet égard pas pertinente.</w:t>
      </w:r>
    </w:p>
    <w:p>
      <w:r>
        <w:t>- 27 - Il en va de même de la pièce 20 sur laquelle figure la somme de 2'172 fr. 30 de frais de parodontose, dès lors que, d’une part, il s’agit uniquement d’une « estimation d’honoraires » et que, d’autre part, l’appelant n’a, dans son appel, rien allégué à cet égard. 3.6 L’appelant soutient ensuite que c’est un montant de 28'830 fr., incluant les amortissements, qui devrait être retenu à titre d’intérêts hypothécaires pour son immeuble de Bettens. Selon la jurisprudence, l’amortissement de la dette hypothécaire, qui ne sert pas à l’entretien, mais à la constitution du patrimoine, n’a en principe pas à être pris en considération pour le calcul du minimum vital (TF 5C.84/2006 du 29 septembre 2006 consid. 2.2.3). Pour le reste, il ne résulte pas des pièces figurant au dossier qu’il s’agirait d’un amortissement obligatoire, comme le prétend l’appelant en référence à la seule pièce 4 du bordereau produit en appel. Il convient donc, pour l’immeuble de Bettens, de s’en tenir au montant de 21'161 fr. retenu par le premier juge à titre d’intérêts hypothécaires. 3.7 Enfin, quand bien même le montant des primes de l’assurance 3e pilier n’est, en général, pas pris en compte dans les charges incompressibles, car il s'agit de montants servant à la constitution du patrimoine (TF 5A_608/2011 du 13 décembre 2011 consid. 6.2.3), le premier juge a retenu à ce titre un montant de 1'311 fr. 50 dans les charges de l’appelant. Il n’y a toutefois pas lieu de revoir ce point d’office, dans la mesure où l’intimée n’a pas fait appel de l’ordonnance attaquée, la maxime de disposition étant applicable (art. 58 al. 1 CPC). 4. En définitive, la situation financière des parties est la suivante :</w:t>
      </w:r>
    </w:p>
    <w:p>
      <w:r>
        <w:t>- 28 - 4.1 Du 1er mai au 31 décembre 2016, B.Q.________ a réalisé un revenu mensuel net moyen de 2'068 fr. ; celui-ci est de 2'430 fr. à partir du 1er janvier 2017. Les charges mensuelles de l’intimée, également distinguées entre ces deux périodes, sont les suivantes : 05-12.2016 2017 - minimum vital 1'200 fr. 00 1'200 fr. 00 - loyer 1'600 fr. 001'600 fr. 00 - assurance-maladie 420 fr. 40 516 fr. 35 - franchise et participation frais médicaux 100 fr. 00100 fr. 00 - impôts (estimation) 1'000 fr. 00 1'000 fr. 00 - frais de transport 38 fr. 30 33 fr. 00 - frais de repas 48 fr. 80 ---- TOTAL 4'407 fr. 50 4'449 fr. 35 Le budget mensuel de l’appelante affiche un manco de 2'339 fr. 50 pour la période du 1er mai au 31 décembre 2016 et de 2'019 fr. 35 dès le 1er janvier 2017. 4.2 A.Q.________ a réalisé – et réalise encore – un revenu mensuel net de 7'704 francs. Quant à ses charges mensuelles, elles sont les suivantes : - minimum vital 1'200 fr. 00 - assurance-maladie 601 fr. 70 - franchise et participation frais médicaux 100 fr. 00 - impôts (estimation) 1'300 fr. 00 - frais de transport 400 fr. 00 - prévoyance individuelle liée 1'311 fr. 50 TOTAL 4'913 fr. 20 Le budget mensuel de l’intimé laisse apparaître un excédent de 2'790 fr. 80.</w:t>
      </w:r>
    </w:p>
    <w:p>
      <w:r>
        <w:t>- 29 - 4.3 Après couverture du manco de l’intimée, le disponible des époux s’élève à 451 fr. 30 pour la période du 1er mai au 31 décembre 2016 et à 771 fr. 45 dès le 1er janvier 2017. Après répartition du solde disponible à raison d’une moitié pour chaque partie, la pension due par l’appelant à l’intimée s’élève au montant arrondi de 2'570 fr. [2'339 fr. 50 + (451 fr. 30 / 2)] pour la période du 1er mai au 31 décembre 2016 et de 2'410 fr. [2019 fr. 35 + (771 fr. 45 / 2)] à partir du 1er janvier 2017. 5. En conclusion, l’appel doit être partiellement admis et l’ordonnance réformée au chiffre III de son dispositif en ce sens qu’A.Q.________ contribuera à l’entretien de son épouse B.Q.________ par le versement d’une pension mensuelle de 2’570 fr. du 1er mai au 31 décembre 2016 et de 2'410 fr. dès le 1er janvier 2017. Les frais judiciaires de deuxième instance, arrêtés à 1'200 fr. (art. 65 al. 4 TFJC [tarif des frais judiciaires civils du 28 septembre 2010; RSV 270.11.5]), doivent être mis pour moitié à la charge de chaque partie (art. 106 al. 2 CPC). L’intimée devra ainsi verser à l’appelant la somme de 600 fr. à titre de restitution d’avance de frais, les dépens de seconde instance étant pour le surplus compensés. Par ces motifs, la juge délégué de la Cour d’appel civile prononce : I. L’appel est partiellement admis. II. L’ordonnance est réformée au chiffre III de son dispositif comme il suit :</w:t>
      </w:r>
    </w:p>
    <w:p>
      <w:r>
        <w:t>- 30 - III. dit qu’A.Q.________ contribuera à l’entretien de son épouse B.Q.________ par le versement d’une pension mensuelle, payable d’avance le premier de chaque mois en mains de B.Q.________, de 2’570 fr. (deux mille cinq cent septante francs), du 1er mai 2016 au 31 décembre 2016, et de 2'410 fr. (deux mille quatre cent dix francs), dès le 1er janvier 2017, sous déductions des montants déjà versés à ce titre. L’ordonnance est confirmée pour le surplus. III. Les frais judiciaires de deuxième instance, arrêtés à 1'200 fr. (mille deux cents francs), sont mis à la charge l’appelant par 600 fr. (six cents francs) et de l’intimée par 600 fr. (six cents francs). IV. L’intimée B.Q.________ doit verser à l’appelant A.Q.________ la somme de 600 fr. (six cents francs) à titre de restitution d’avance de frais de deuxième instance, les dépens de deuxième instance étant compensés pour le surplus. La juge déléguée : Le greffier : Du Le présent arrêt, dont la rédaction a été approuvée à huis clos, est notifié en expédition complète à : - Me Flore Primault (pour A.Q.________), - Me Nathalie Fluri (pour B.Q.________),</w:t>
      </w:r>
    </w:p>
    <w:p>
      <w:r>
        <w:t>- 31 - et communiqué, par l'envoi de photocopies, à : - Mme la Vice-Présidente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