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JS16.020847 vom 23. Mai 2017</w:t>
      </w:r>
    </w:p>
    <w:p>
      <w:r>
        <w:t>VD Tribunal cantonal, 2017-05-23, FR</w:t>
      </w:r>
    </w:p>
    <w:p>
      <w:r>
        <w:rPr>
          <w:b/>
        </w:rPr>
        <w:t xml:space="preserve">Quelle: </w:t>
      </w:r>
      <w:r>
        <w:t>https://mcp.opencaselaw.ch/entscheid/vd_gerichte_JS16.020847</w:t>
      </w:r>
    </w:p>
    <w:p>
      <w:r>
        <w:t>FR: VD_GERICHTE JS16.020847 du 23 mai 2017</w:t>
      </w:r>
    </w:p>
    <w:p>
      <w:r>
        <w:t>IT: VD_GERICHTE JS16.020847 del 23 maggio 2017</w:t>
      </w:r>
    </w:p>
    <w:p>
      <w:pPr>
        <w:pStyle w:val="Heading2"/>
      </w:pPr>
      <w:r>
        <w:t>Erwägungen</w:t>
      </w:r>
    </w:p>
    <w:p>
      <w:r>
        <w:rPr>
          <w:b/>
        </w:rPr>
        <w:t>E. 3</w:t>
      </w:r>
    </w:p>
    <w:p>
      <w:r>
        <w:t>CPC) sont applicables. Le juge n’est ainsi pas lié par les allégués et les conclusions des parties et doit notamment vérifier, concernant les contributions d’entretien, que les solutions proposées par les parties correspondent au mieux aux besoins de chaque enfant (Guillod/Burgat, Droit des familles, 4e éd., 2016, n. 281 p. 187, citant l’ATF 126 III 8 ; Jeandin, op. cit., n. 16 ad art. 296 CPC). Le tribunal peut en conséquence octroyer plus que demandé ou moins qu’admis (Jeandin, op. cit., n. 15 ad</w:t>
      </w:r>
    </w:p>
    <w:p>
      <w:r>
        <w:t>- 12 - art. 296 CPC). La maxime d’office applicable à l’entretien de l’enfant mineur échappe ainsi à l’interdiction de la reformatio in pejus, celle-ci ne s’appliquant que si les prétentions des parties sont soumises au principe de disposition (art. 58 al. 1 CPC ; TF 5_757/2013 du 14 juillet 2014 consid. 2.1 et 2.2). 2.3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ces conditions sont réalisées, de sorte que l’appel doit indiquer spécialement de tels faits et preuves nouveaux et motiver spécialement les raisons qui les rendent admissibles selon lui (JdT 2011 III 43 précité et les réf.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novas. Les vrais novas sont des faits ou moyens de preuve qui ne sont nés qu’après la fin de l’audience de débats principaux de première instance ; ils sont recevables</w:t>
      </w:r>
    </w:p>
    <w:p>
      <w:r>
        <w:t>- 13 -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 JdT 2013 III 131 ss, n. 40 p. 150 et les réf. citées). 2.3.2 En l’espèce, l’appelant a produit un onglet de quatre pièces sous bordereau à l’appui de son appel. La pièce 1 est une pièce de forme qui est recevable. Les pièces 2 et 4, postérieures à l’audience du 4 novembre 2016, sont recevables. La pièce 3, soit un document compilant plusieurs récépissés postaux datés antérieurement à l’audience du 4 novembre 2016, est en revanche irrecevable. 2.3.3 L’intimée a produit un onglet de cinq pièces sous bordereau à l’appui de sa réponse. Les pièces 101 à 103 sont des pièces de forme recevables. La pièce 104, postérieure à l’audience du 4 novembre 2016, est recevable. La pièce 105, datée du 12 décembre 2016, est un extrait du compte bancaire de l’intimée pour la période du 1er mai au 31 décembre 2016. Elle aurait ainsi pu être produite devant le premier juge si l’intimée avait fait preuve de la diligence requise ; elle est partant irrecevable. 2.3.4 L’appelant a produit un onglet de trois pièces sous bordereau à l’appui de ses déterminations du 16 février 2017. S’agissant de la pièce 5, le contrat de travail de l’intimée daté du 20 octobre 2016, l’appelant affirme que cette pièce ne lui serait parvenue qu’après le dépôt de l’appel, à la suite de la réponse de l’intimée. Dans la mesure où la pièce en question est relative à la situation personnelle et financière de l’intimée, on peut admettre que l’appelant n’en avait pas connaissance lors de l’audience du 4 novembre 2016, de sorte qu’il s’agit d’un faux nova qui est en l’espèce recevable. La pièce 6 figure au dossier de première instance, de sorte qu’elle est recevable. La pièce 7, un bulletin de salaire d’U.W.________ pour le mois de janvier 2017, postérieure à l’audience du</w:t>
      </w:r>
    </w:p>
    <w:p>
      <w:r>
        <w:rPr>
          <w:b/>
        </w:rPr>
        <w:t>E. 3.1</w:t>
      </w:r>
    </w:p>
    <w:p>
      <w:r>
        <w:t>Par requête de mesures superprovisionnelles, l’intimée a requis, lors de l’audience du 11 mai 2017, « qu’il soit statué par voie de mesures superprovisionnelles sur la contribution d’entretien due par B.W.________ en faveur des siens, en ce sens que les chiffres VII, VIII et IX de l’ordonnance de mesures protectrices de l’union conjugale du 4 novembre 2016 sont confirmés ».</w:t>
      </w:r>
    </w:p>
    <w:p>
      <w:r>
        <w:rPr>
          <w:b/>
        </w:rPr>
        <w:t>E. 3.2</w:t>
      </w:r>
    </w:p>
    <w:p>
      <w:r>
        <w:t>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w:t>
      </w:r>
    </w:p>
    <w:p>
      <w:r>
        <w:t>- 17 -</w:t>
      </w:r>
    </w:p>
    <w:p>
      <w:r>
        <w:rPr>
          <w:b/>
        </w:rPr>
        <w:t>E. 3.3</w:t>
      </w:r>
    </w:p>
    <w:p>
      <w:r>
        <w:t>et la jurisprudence citée).</w:t>
      </w:r>
    </w:p>
    <w:p>
      <w:r>
        <w:rPr>
          <w:b/>
        </w:rPr>
        <w:t>E. 4</w:t>
      </w:r>
    </w:p>
    <w:p>
      <w:r>
        <w:t>novembre 2016, est également recevable.</w:t>
      </w:r>
    </w:p>
    <w:p>
      <w:r>
        <w:t>- 14 - 2.3.5 Lors de l’audience d’appel du 17 février 2017, l’appelant a produit un extrait de compte [...] du 6 février 2017, soit postérieur à l’audience de première instance. Cette pièce est recevable. Quant à l’intimée, elle a produit un onglet de six pièces sous bordereau parmi lesquelles les pièces 106 à 108, qui, postérieures à l’audience de première instance, sont recevables. Quant aux pièces 109 à 111, relatives à des frais de transport, auraient pu être produites devant le premier juge, dans la mesure où l’intimée travaillait depuis le mois de novembre 2016, si elle avait fait preuve de la diligence requise. Elles sont par conséquent irrecevables. 2.3.6 Lors de l’audience d’appel du 11 mai 2017, l’intimée a produit quatre pièces, soit un courrier de [...] du 13 mars 2017, ses fiches de salaire pour les mois de février et mars 2017, ainsi qu’un décompte de prestations de chômage pour le mois d’avril 2017. Ces pièces sont postérieures à l’audience du 4 novembre 2016, de sorte qu’elles sont recevables. Les pièces nouvelles produites par les parties ayant été déclarées recevables sont prises en considération dans la mesure de leur utilité. 2.4 2.4.1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annoté,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w:t>
      </w:r>
    </w:p>
    <w:p>
      <w:r>
        <w:t>- 15 -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2.4.2 2.4.2.1 Lors de l’audience d’appel du 11 mai 2017, l’appelant a requis, à titre de mesures d’instruction, l’établissement d’un rapport par le Point Rencontre, plus précisément par la surveillante qui était présente lorsque l’enfant C.W.________ aurait tenu des propos que l’appelant a considéré comme alarmants le 7 mai 2017. « Les principes de fonctionnement/relations avec les institutions » du Point Rencontre sont disponibles sur son site internet (http://www. fjfnet.ch/wp-content/uploads/2014/12/Modalités-Point- Rencontre-Vaud.pdf). Ils prévoient que « ce qui se vit à Point Rencontre est d’ordre privé. Le contenu des relations enfant-parents ne fait l’objet d’aucun rapport écrit ou verbal destiné à des tiers. Le devoir de discrétion est levé lorsqu’il y a danger pour les bénéficiaires, les professionnels ou la transgression du règlement de Point Rencontre empêchent les rencontres enfant-parents ou le fonctionnement du lieu ». Ce règlement prévoit également que le Point Rencontre adresse un courrier aux parents et aux autorités afin de demander des modifications aux conditions de visite et/ou en cas d’événement grave. En l’espèce, il y a lieu de relever que ces données, pouvant être consultées par chacun sur internet, constituent un fait notoire conformément à la jurisprudence (ATF 137 III 623 consid. 3 ; TF 5A_561/2011 du 19 mars 2012 consid. 5.3, in RSPC 2012 p. 290).</w:t>
      </w:r>
    </w:p>
    <w:p>
      <w:r>
        <w:t>- 16 - Le juge délégué considère qu’il n’y a pas lieu, en l’espèce, de solliciter l’établissement par le Point Rencontre du document requis par l’appelant, cette démarche apparaissant contraire aux règles de fonctionnement de cette institution, précisément établies pour le bien de l’enfant. A cela s’ajoute que le juge délégué considère qu’il n’est pas suffisamment rendu vraisemblable qu’un tel document serait de nature à modifier le sort du présent appel, fondé sur les considérants qui suivent. Cela conduit également au rejet de cette réquisition. 2.4.3 Pour sa part, l’intimée a requis la production du passeport de l’appelant dans le but d’établir ses déplacements au Kosovo. La pertinence du fait que cette réquisition de production de pièce serait censée rendre vraisemblable n’est pas avérée. Cela étant, le juge délégué la rejette également par appréciation anticipée des preuves, dès lors que ce moyen de preuve n’est propre à modifier l’établissement des faits tel qu’il résulte des éléments probants déjà au dossier. 3.</w:t>
      </w:r>
    </w:p>
    <w:p>
      <w:r>
        <w:rPr>
          <w:b/>
        </w:rPr>
        <w:t>E. 4.1</w:t>
      </w:r>
    </w:p>
    <w:p>
      <w:r>
        <w:t>L’appelant fait grief au premier juge d’avoir maintenu l’exercice de son droit de visite au Point Rencontre. Il lui reproche d’avoir donné une importance prépondérante au conflit interpersonnel qui oppose les parents plutôt qu’à l’intérêt supérieur de l’enfant. Il critique la manière dont le premier juge a motivé sa décision, à savoir uniquement par le fait que, depuis la séparation des époux en avril 2016, l’exercice des relations personnelles entre l’appelant et son fils posait des difficultés, mises sur le compte du conflit parental. Il soutient avoir les capacités éducatives nécessaires pour s’occuper de son fils et ajoute qu’il n’existerait aucun indice de danger quelconque pour ce dernier, de sorte qu’une normalisation sans retard des relations personnelles se justifie.</w:t>
      </w:r>
    </w:p>
    <w:p>
      <w:r>
        <w:rPr>
          <w:b/>
        </w:rPr>
        <w:t>E. 4.2.1</w:t>
      </w:r>
    </w:p>
    <w:p>
      <w:r>
        <w:t>L'art. 273 al. 1 CC dispose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TF 5A_826/2009 du 22 mars 2010 consid. 2.1 ; Chaix, Commentaire romand, 2010, n. 20 ad art. 176 CC). Pour prendre une telle décision, le juge des mesures protectrices dispose d’un large pouvoir d’appréciation au sens de l’art. 4 CC et fait application du principe de proportionnalité</w:t>
      </w:r>
    </w:p>
    <w:p>
      <w:r>
        <w:t>- 18 - (Chaix, op. cit., nn. 1 et 20 ad art. 176 CC, p. 1234 et 1240). 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les réf. citées, FamPra.ch 2011 p. 491 ; ATF 131 III 209 consid. 5 ; ATF 123 III 445 consid.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w:t>
      </w:r>
    </w:p>
    <w:p>
      <w:r>
        <w:t>- 19 - mais aussi de l’éloignement géographique des domiciles (Meier/Stettler, Droit de la filiation, 5e éd., 2014, n. 766, p. 500 et les réf. citées).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w:t>
      </w:r>
    </w:p>
    <w:p>
      <w:r>
        <w:rPr>
          <w:b/>
        </w:rPr>
        <w:t>E. 4.2.2</w:t>
      </w:r>
    </w:p>
    <w:p>
      <w:r>
        <w:t>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Lorsque l'enfant adopte une attitude défensive envers le parent qui n'en a pas la garde, il faut, dans chaque cas particulier, déterminer les motivations qu'a</w:t>
      </w:r>
    </w:p>
    <w:p>
      <w:r>
        <w:t>- 20 -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 citées).</w:t>
      </w:r>
    </w:p>
    <w:p>
      <w:r>
        <w:rPr>
          <w:b/>
        </w:rPr>
        <w:t>E. 4.3.1</w:t>
      </w:r>
    </w:p>
    <w:p>
      <w:r>
        <w:t>; TF 5A_365/2014 du 25 juillet 2014 consid. 3.1 et les réf. cit.).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FamPra.ch 2009 p. 110 ; Juge délégué CACI 9 juillet 2015/354). Un loyer disproportionné par rapport à la situation économique et personnelle de la partie peut ainsi être réduit à un niveau normal, après l'expiration du prochain délai de résiliation du contrat de bail (ATF 129 III 526 consid. 3.3.1 ; ATF 130 III 537 consid. 2.4 et les réf. cit.).</w:t>
      </w:r>
    </w:p>
    <w:p>
      <w:r>
        <w:t>- 23 -</w:t>
      </w:r>
    </w:p>
    <w:p>
      <w:r>
        <w:rPr>
          <w:b/>
        </w:rPr>
        <w:t>E. 4.3.2</w:t>
      </w:r>
    </w:p>
    <w:p>
      <w:r>
        <w:t>Cette motivation ne convainc pas dans la mesure où elle assimile les relations personnelles de l’enfant avec son père au conflit qui oppose les parents. Il est indéniable que l’enfant C.W.________ souffre d’une situation conflictuelle entre ses parents et qu’il semble être pris dans un conflit de loyauté qu’il doit tenter de gérer. Le contexte difficile dans lequel l’enfant évolue, empreint de tensions entre les parents qui peinent à communiquer et se dénigrent l’un l’autre, ne peut que le fragiliser et le déstabiliser, comme l’a soulevé la pédopsychiatre en charge de l’enfant. Le fait que les parents se soient mis d’accord sur le fait d’entreprendre des entretiens parents-enfant doit être encouragé puisque cela devrait améliorer les relations entre le père et le fils, respectivement être dans le bien de l’enfant. Comme le prévoient la doctrine et la jurisprudence, le bien de l’enfant est supérieur et doit être pris en compte dans le cadre des modalités des relations personnelles avec le parent non gardien. Il est en l’espèce dans l’intérêt de C.W.________ de voir son père régulièrement. Toutefois, il ressort du dossier que le contact entre l’enfant et le père est</w:t>
      </w:r>
    </w:p>
    <w:p>
      <w:r>
        <w:t>- 21 - difficile. Il apparaît dès lors approprié de continuer les relations personnelles par l’intermédiaire du Point Rencontre. En effet, l’intervention d’un acteur tiers semble indispensable, au vu des éléments probants disponibles à ce stade, pour la passation de l’enfant entre les parents. En revanche, le juge délégué estime que le droit de visite au Point Rencontre doit être élargi en ce sens que l’appelant doit avoir la possibilité de sortir durant trois heures avec son enfant, afin que celui-ci puisse partager d’autres loisirs et activités avec son père que dans les locaux du Point Rencontre. En effet, depuis la séparation des parents, il y a plus d’une année, le père et le fils ne se sont que très peu vus ; or, C.W.________ a huit ans et il n’est pas dans son intérêt que le lien avec son père se rompe. Cet élargissement est opportun en l’espèce dans la mesure où le dossier de la cause n’établit aucun acte malveillant du père envers son fils, ni aucune menace. Au demeurant, le rapport du SPJ sera susceptible de confirmer si une telle restriction doit être maintenue pour le bien de l’enfant ou si, au contraire, un droit de visite plus élargi ou usuel est envisageable. Enfin, le juge délégué observe que si la réglementation du droit de visite ne saurait dépendre de la volonté de l'enfant et qu’il est dans son intérêt de voir son père et d’entretenir avec lui des relations personnelles, il ressort du dossier que cet enfant a désormais adopté un comportement défensif à l’égard de son père. L’appelant est par conséquent rendu attentif que le bien de son fils fait qu’il ne doit pas être brusqué quant à l’usage de cette possibilité nouvelle.</w:t>
      </w:r>
    </w:p>
    <w:p>
      <w:r>
        <w:rPr>
          <w:b/>
        </w:rPr>
        <w:t>E. 4.3.3</w:t>
      </w:r>
    </w:p>
    <w:p>
      <w:r>
        <w:t>S’agissant des capacités éducatives de l’appelant, le rapport du SPJ est en phase de rédaction et le juge de céans ne statuera pas à ce sujet. En l’état, il apparaît qu’avant la séparation du couple, l’enfant ne semblait pas avoir de difficultés relationnelles avec ses parents et que le père s’en occupait régulièrement. Dès lors, on ne voit pas en quoi ses facultés à ce sujet auraient diminué depuis lors. En outre, le fait que les relations personnelles soient étendues à trois heures deux fois par mois</w:t>
      </w:r>
    </w:p>
    <w:p>
      <w:r>
        <w:t>- 22 - afin que père et fils puissent sortir du Point Rencontre reste une restriction au droit de visite. Il est également à relever qu’à réception du rapport du SPJ, les modalités du droit de visite pourront évoluer selon les recommandations de ce service, en relation étroite avec le bien de l’enfant.</w:t>
      </w:r>
    </w:p>
    <w:p>
      <w:r>
        <w:rPr>
          <w:b/>
        </w:rPr>
        <w:t>E. 4.5</w:t>
      </w:r>
    </w:p>
    <w:p>
      <w:r>
        <w:t>pièces est dans tous les cas disproportionné au vu des critères susmentionnés. C’est dès lors avec raison que le premier juge a retenu un loyer hypothétique ; cependant, en le fixant à 1'000 fr. par mois, celui-ci a négligé les prix du marché. Il convient par conséquent de retenir un loyer hypothétique de 1'300 fr. pour un logement de taille adéquate en ville d’ [...]. Lorsque le juge considère qu’il faut imputer un loyer hypothétique au débiteur d’aliments, la jurisprudence prévoit qu’il y a lieu de laisser un certain délai au débiteur afin qu’il puisse se conformer à la décision, qui est en règle générale de l’ordre du délai de résiliation prévu dans le contrat de bail. Toutefois, en l’espèce, l’appelant n’était pas sans ignorer que, dès la séparation du couple, l’existence de deux ménages distincts entraînerait des coûts supplémentaires. Il savait qu’il devrait contribuer à l’entretien des siens dès son départ du domicile conjugal notamment au vu de la situation économique précaire du couple et n’était dès lors pas fondé à prendre à bail un appartement pour lui seul plus grand et plus onéreux que celui de sa famille. C’est partant avec raison que le premier juge a retenu un loyer hypothétique dès la séparation du couple, soit dès le 1er mai 2016.</w:t>
      </w:r>
    </w:p>
    <w:p>
      <w:r>
        <w:t>- 24 -</w:t>
      </w:r>
    </w:p>
    <w:p>
      <w:r>
        <w:rPr>
          <w:b/>
        </w:rPr>
        <w:t>E. 5.1.1</w:t>
      </w:r>
    </w:p>
    <w:p>
      <w:r>
        <w:t>L’appelant conteste l’évaluation par le premier juge de ses capacités financières. En premier lieu, il lui reproche d’avoir considéré que son loyer était manifestement trop élevé et d’avoir, en lieu et place de son loyer effectif de 1'720 fr., retenu un loyer hypothétique de 1'000 francs.</w:t>
      </w:r>
    </w:p>
    <w:p>
      <w:r>
        <w:rPr>
          <w:b/>
        </w:rPr>
        <w:t>E. 5.1.2</w:t>
      </w:r>
    </w:p>
    <w:p>
      <w:r>
        <w:t>Seuls les frais de logement effectifs ou raisonnables doivent être pris en considération dans le calcul des charges, menant à celui de la contribution d'entretien (TF 5A_1029/2015 du 1er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w:t>
      </w:r>
    </w:p>
    <w:p>
      <w:r>
        <w:rPr>
          <w:b/>
        </w:rPr>
        <w:t>E. 5.1.3</w:t>
      </w:r>
    </w:p>
    <w:p>
      <w:r>
        <w:t>En l’espèce, la décision attaquée retient en effet que le coût du loyer de l’appelant est manifestement trop élevé dans la mesure où il vit seul et que rien ne justifie qu’il loue un appartement de 4.5 pièces. Un loyer hypothétique de 1'000 fr. a dès lors été pris en considération compte tenu des prix du marché dans la région d’ [...]. Les considérations du premier juge sont justifiées s’agissant de la taille du logement de l’appelant. En effet, l’appelant vit seul et n’exerce actuellement qu’un droit de visite restreint sur son enfant, qu’il ne peut pour l’instant amener à son domicile. Partant, il y a lieu de retenir que le logement actuel de l’appelant n’est pas adéquat en comparaison à sa situation personnelle et surtout financière. En outre, même à considérer que son droit de visite soit élargi et devienne usuel, un appartement de</w:t>
      </w:r>
    </w:p>
    <w:p>
      <w:r>
        <w:rPr>
          <w:b/>
        </w:rPr>
        <w:t>E. 5.2.1</w:t>
      </w:r>
    </w:p>
    <w:p>
      <w:r>
        <w:t>L’appelant reproche au premier juge de ne pas avoir tenu compte d’un montant mensuel de 198 fr. 85 correspondant à un crédit privé qu’il avait contracté et dont il avait produit un récépissé de paiement. Il soutient que l’autorité intimée, au nom de la maxime inquisitoire illimitée, aurait dû l’interpeller sur les modalités de remboursement de ce crédit. En l’espèce, le premier juge a considéré que la production d’un seul récépissé postal ne permettait pas de déterminer les modalités de remboursement de la dette, ni la date à laquelle ce remboursement prendrait fin.</w:t>
      </w:r>
    </w:p>
    <w:p>
      <w:r>
        <w:rPr>
          <w:b/>
        </w:rPr>
        <w:t>E. 5.2.2</w:t>
      </w:r>
    </w:p>
    <w:p>
      <w:r>
        <w:t>L’appréciation du premier juge ne prête pas le flanc à la critique. En effet, la production d’un récépissé postal ne permet pas d’établir les modalités de remboursement d’un prêt. Or malgré l’application de la maxime inquisitoire illimitée, il incombe aux parties d’indiquer les moyens de preuve disponibles, ce que l’appelant a échoué en l’espèce. Dès lors, le montant de 198 fr. 85 ne sera pas pris en compte dans l’établissement des charges de l’appelant.</w:t>
      </w:r>
    </w:p>
    <w:p>
      <w:r>
        <w:rPr>
          <w:b/>
        </w:rPr>
        <w:t>E. 5.3</w:t>
      </w:r>
    </w:p>
    <w:p>
      <w:r>
        <w:t>L’appelant retient que des frais de droit de visite mensuels, par 150 fr., devraient lui être imputés. En l’espèce, le droit de visite de l’appelant étant limité à une sortie de 3 heures deux fois par mois, aucun frais relatif à ce droit restreint ne peut être pris en compte dans ses charges.</w:t>
      </w:r>
    </w:p>
    <w:p>
      <w:r>
        <w:rPr>
          <w:b/>
        </w:rPr>
        <w:t>E. 5.4</w:t>
      </w:r>
    </w:p>
    <w:p>
      <w:r>
        <w:t>L’appelant invoque également que les frais de remboursement de l’assistance judiciaire par 50 fr. devraient être pris en compte dans son budget de charges. Les frais de remboursement de l’assistance judiciaire ne font pas partie du minimum vital et n’ont donc pas à être pris en compte à ce titre.</w:t>
      </w:r>
    </w:p>
    <w:p>
      <w:r>
        <w:t>- 25 -</w:t>
      </w:r>
    </w:p>
    <w:p>
      <w:r>
        <w:rPr>
          <w:b/>
        </w:rPr>
        <w:t>E. 5.5.1</w:t>
      </w:r>
    </w:p>
    <w:p>
      <w:r>
        <w:t>Partant, les charges mensuelles de l’appelant sont les suivantes pour la période du 1er mai 2016 au 31 décembre 2016 : -Base mensuelle fr. 1'200.00 -Loyer hypothétique fr. 1'300.00 -Place de parc fr. 90.00 -Assurance-maladie fr. 259.85 -Frais de déplacement fr. 500.00 -Assurance véhicule fr. 122.50 -Leasing fr. 404.00 Total fr. 3'876.35 Le revenu de l’appelant étant de 4'480 fr., il a bénéficié d’un excédent de 603 fr. 65 pour cette période.</w:t>
      </w:r>
    </w:p>
    <w:p>
      <w:r>
        <w:rPr>
          <w:b/>
        </w:rPr>
        <w:t>E. 5.5.2</w:t>
      </w:r>
    </w:p>
    <w:p>
      <w:r>
        <w:t>Les charges mensuelles de l’appelant sont les suivantes pour la période du 1er janvier 2017 au 31 août 2017 : -Base mensuelle fr. 1'200.00 -Loyer hypothétique fr. 1'300.00 -Place de parc fr. 90.00 -Assurance-maladie fr. 406.25 -Frais de déplacement fr. 500.00 -Assurance véhicule fr. 122.50 -Leasing fr. 404.00 Total fr. 4'022.75 La prime d’assurance-maladie de l’appelant ayant augmenté au 1er janvier 2017, ce que l’intimée a admis, il y a lieu d’en tenir compte dans l’établissement de ses charges. Au vu de son revenu, l’appelant a bénéficié d’un excédent de 457 fr. 25 pour cette période.</w:t>
      </w:r>
    </w:p>
    <w:p>
      <w:r>
        <w:t>- 26 -</w:t>
      </w:r>
    </w:p>
    <w:p>
      <w:r>
        <w:rPr>
          <w:b/>
        </w:rPr>
        <w:t>E. 5.5.3</w:t>
      </w:r>
    </w:p>
    <w:p>
      <w:r>
        <w:t>Les charges mensuelles de l’appelant seront les suivantes dès le 1er septembre 2017 : -Base mensuelle fr. 1'200.00 -Loyer hypothétique fr. 1'300.00 -Place de parc fr. 90.00 -Assurance-maladie fr. 406.25 -Frais de déplacement fr. 500.00 -Assurance véhicule fr. 122.50 Total fr. 3’618.75 Lors de l’audience d’appel du 11 mai 2017, l’appelant a déclaré qu’il ne lui restait que trois mensualités à payer s’agissant de son leasing d’un montant de 404 fr. retenu par le premier juge. Par conséquent, dès le 1er septembre 2017, l’excédent réalisé par l’appelant sera de 861 fr. 25.</w:t>
      </w:r>
    </w:p>
    <w:p>
      <w:r>
        <w:rPr>
          <w:b/>
        </w:rPr>
        <w:t>E. 5.6.1</w:t>
      </w:r>
    </w:p>
    <w:p>
      <w:r>
        <w:t>L’appelant soutient que le revenu de l’intimée serait plus élevé que celui retenu par le premier juge.</w:t>
      </w:r>
    </w:p>
    <w:p>
      <w:r>
        <w:rPr>
          <w:b/>
        </w:rPr>
        <w:t>E. 5.6.2</w:t>
      </w:r>
    </w:p>
    <w:p>
      <w:r>
        <w:t>Il ressort des pièces produites en appel que le revenu net moyen de l’intimée, pour la période d’avril 2016 à avril 2017, est de 2'711 fr. 60.</w:t>
      </w:r>
    </w:p>
    <w:p>
      <w:r>
        <w:rPr>
          <w:b/>
        </w:rPr>
        <w:t>E. 5.6.3</w:t>
      </w:r>
    </w:p>
    <w:p>
      <w:r>
        <w:t>Les charges de l’intimée arrêtées par le premier juge peuvent être confirmées, soit : -Base mensuelle fr. 1'350.00 -Part du loyer fr. 664.00 -Assurance-maladie fr. 258.40 Total fr. 2'272.40 Le disponible de l’intimée est de 439 fr. 20.</w:t>
      </w:r>
    </w:p>
    <w:p>
      <w:r>
        <w:t>- 27 -</w:t>
      </w:r>
    </w:p>
    <w:p>
      <w:r>
        <w:rPr>
          <w:b/>
        </w:rPr>
        <w:t>E. 5.7</w:t>
      </w:r>
    </w:p>
    <w:p>
      <w:r>
        <w:t>Les charges mensuelles de l’enfant C.W.________ sont les suivantes : -Base mensuelle fr. 400.00 -Part du loyer fr. 166.00 -Assurance-maladie fr. 37.10 Total fr. 603.10</w:t>
      </w:r>
    </w:p>
    <w:p>
      <w:r>
        <w:rPr>
          <w:b/>
        </w:rPr>
        <w:t>E. 5.8.1</w:t>
      </w:r>
    </w:p>
    <w:p>
      <w:r>
        <w:t>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w:t>
      </w:r>
    </w:p>
    <w:p>
      <w:r>
        <w:rPr>
          <w:b/>
        </w:rPr>
        <w:t>E. 5.8.2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w:t>
      </w:r>
    </w:p>
    <w:p>
      <w:r>
        <w:t>- 28 -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rPr>
          <w:b/>
        </w:rPr>
        <w:t>E. 5.8.3</w:t>
      </w:r>
    </w:p>
    <w:p>
      <w:r>
        <w:t>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 8 ; Spycher, Kindesunterhalt : Rechtliche Grundlagen unf praktische Herausforderungen – heute und demnächst, FamPra.ch 1/2016, pp. 1 ss,</w:t>
      </w:r>
    </w:p>
    <w:p>
      <w:r>
        <w:t>- 29 - spéc. p. 8; Bähler, Unterhaltsberechnungen – von der Methode zu den Franken, in FamPra.ch 1/2015, pp. 271ss,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22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w:t>
      </w:r>
    </w:p>
    <w:p>
      <w:r>
        <w:t>- 30 - mineurs, un disponible subsiste, celui-ci devra être réparti entre les conjoints (Stoudmann, loc. cit.).</w:t>
      </w:r>
    </w:p>
    <w:p>
      <w:r>
        <w:rPr>
          <w:b/>
        </w:rPr>
        <w:t>E. 5.9</w:t>
      </w:r>
    </w:p>
    <w:p>
      <w:r>
        <w:t>En l’espèce, il y a lieu de réformer d’office l’ordonnance entreprise afin de l’adapter au nouveau droit de l’entretien de l’enfant, les contributions en sa faveur devant désormais être déterminées par rapport à ses coûts directs et non en pourcentage du salaire du parent débiteur de l’entretien. Les coûts directs de C.W.________ ont été arrêtés à 603 fr. 10. Ils doivent intégralement être couverts par l’appelant, dès lors que l’intimée participe à son entretien en nature en s’occupant seule de son enfant, le père exerçant un droit de visite limité au Point Rencontre. Les coûts directs de l’enfant, allocations familiales par 212 fr. déduites, se montent à 390 francs. L’intimée disposant d’un disponible après couverture de ses charges, aucune contribution de prise en charge ne sera allouée. Par conséquent, l’appelant devra contribuer à l’entretien de son fils par le versement de 390 fr., allocations familiales en sus, dès le 1er mai 2016.</w:t>
      </w:r>
    </w:p>
    <w:p>
      <w:r>
        <w:rPr>
          <w:b/>
        </w:rPr>
        <w:t>E. 5.10</w:t>
      </w:r>
    </w:p>
    <w:p>
      <w:r>
        <w:t>S’agissant de la contribution d’entretien de l’intimée, l’appelant devra s’acquitter du montant de 55 fr. en sa faveur dans la mesure où son disponible le lui permet dès le 1er mai 2016. Au demeurant, il n’y a pas lieu de modifier ce montant, étant rappelé que l’intimée n’a pas fait appel et qu’il s’agit d’appliquer le principe de disposition concernant les contributions d’entretien entre époux.</w:t>
      </w:r>
    </w:p>
    <w:p>
      <w:r>
        <w:rPr>
          <w:b/>
        </w:rPr>
        <w:t>E. 6.1</w:t>
      </w:r>
    </w:p>
    <w:p>
      <w:r>
        <w:t>Enfin, l’appelant conteste le prononcé d’un avis aux débiteurs et requiert sa révocation dans la mesure où il serait vidé de sa substance puisqu’il soutient ne bénéficier d’aucun excédent lui permettant d’assumer une contribution d’entretien.</w:t>
      </w:r>
    </w:p>
    <w:p>
      <w:r>
        <w:t>- 31 -</w:t>
      </w:r>
    </w:p>
    <w:p>
      <w:r>
        <w:rPr>
          <w:b/>
        </w:rPr>
        <w:t>E. 6.2</w:t>
      </w:r>
    </w:p>
    <w:p>
      <w:r>
        <w:t>Aux termes de l’art. 177 CC, lorsqu’un époux ne satisfait pas à son devoir d’entretien, le juge peut prescrire aux débiteurs de cet époux d’opérer tout ou partie de leurs paiements entre les mains de son conjoint. L’avis aux débiteurs peut être prononcé lorsque le débiteur ne satisfait pas, à réitérées reprises, à son obligation d’entretien, soit qu’il ne s’acquitte pas, ou seulement en partie, ou avec retard, des paiements qui lui incombent (De Luze/Page/Stoudmann, Droit de la famille, 2013, n.1.3 ad art. 291 CC). L'avis aux débiteurs constitue une mesure d'exécution forcée privilégiée sui generis, qui se trouve en lien étroit avec le droit civil et est de nature pécuniaire (ATF 137 III 193 consid. 1.1 ; ATF 130 III 89 consid. 1 ; ATF 110 II 9 consid. 1). Cette mesure a pour but d’assurer l’entretien courant du crédirentier.</w:t>
      </w:r>
    </w:p>
    <w:p>
      <w:r>
        <w:rPr>
          <w:b/>
        </w:rPr>
        <w:t>E. 6.3</w:t>
      </w:r>
    </w:p>
    <w:p>
      <w:r>
        <w:t>En l’espèce, il a été précédemment établi que l’appelant disposait d’un excédent qu’il devait consacrer à l’entretien de son fils, de sorte que son argument tombe à faux. Au surplus, le comportement de l’appelant, qui ne s’est pas acquitté de ses contributions d’entretien, doit être considéré comme un défaut et c’est à juste titre que le premier juge a retenu qu’il était à craindre que celui-ci se reproduise dans le futur, ce qui justifiait d’ordonner un avis aux débiteurs.</w:t>
      </w:r>
    </w:p>
    <w:p>
      <w:r>
        <w:rPr>
          <w:b/>
        </w:rPr>
        <w:t>E. 7.1</w:t>
      </w:r>
    </w:p>
    <w:p>
      <w:r>
        <w:t>Il découle des considérants qui précèdent que l’appel doit être partiellement admis. L’ordonnance doit être réformée aux chiffres III, VII, IX et XI en ce sens que l’exercice du droit de visite de B.W.________ sur son fils C.W.________, né le [...] 2009, s’exercera par l’intermédiaire de Point Rencontre deux fois par mois, pour une durée maximale de 3 heures, avec sortie autorisée, en fonction du calendrier d’ouverture et conformément au règlement et aux principes de fonctionnement de Point Rencontre, qui sont obligatoires pour les deux parents, que B.W.________ contribuera à</w:t>
      </w:r>
    </w:p>
    <w:p>
      <w:r>
        <w:t>- 32 - l’entretien de son fils C.W.________, né le [...] 2009, par le régulier versement, en mains d’U.W.________, le premier de chaque mois, d’une pension de 390 fr., allocations familiales en sus, dès le 1er mai 2016, qu’il soit ordonné l’employeur de B.W.________ prélever chaque mois, sur le salaire ou toute autre prestation versée à ce dernier, la somme de 657 fr. dès le 1er juillet 2017 et de la verser directement sur le compte d’U.W.________, et que les dépens de première instance sont compensés. L’ordonnance doit être confirmée pour le surplus.</w:t>
      </w:r>
    </w:p>
    <w:p>
      <w:r>
        <w:rPr>
          <w:b/>
        </w:rPr>
        <w:t>E. 7.2</w:t>
      </w:r>
    </w:p>
    <w:p>
      <w:r>
        <w:t>Les frais judiciaires de deuxième instance, arrêtés à 600 fr. (art. 65 al. 2 TFJC [tarif des frais judiciaires civils du 28 septembre 2010 ; RSV 270.11.5], seront mis pour moitié à la charge de l’appelant et pour moitié à la charge de l’intimée (art. 106 al. 2 CPC).</w:t>
      </w:r>
    </w:p>
    <w:p>
      <w:r>
        <w:rPr>
          <w:b/>
        </w:rPr>
        <w:t>E. 7.3</w:t>
      </w:r>
    </w:p>
    <w:p>
      <w:r>
        <w:t>Dans sa liste d’opérations du 18 avril [recte mai] 2017, le conseil d’office de l’appelant a indiqué avoir consacré 22 heures et 40 minutes de travail à la procédure d’appel et a fait valoir des débours à hauteur de 90 fr. 50 et des vacations à hauteur de 240 francs. Compte tenu de la nature et de la difficulté du litige, cette durée est admissible et peut être retenue. Il s’ensuit qu’au tarif horaire de 180 fr. (art. 2 al. 1 let. a RAJ [règlement sur l’assistance judiciaire en matière civile du 7 décembre 2010 ; RSV 211.02.3]), l’indemnité s’élève à 4’080 fr., montant auquel s’ajoutent les débours par 90 fr. 50, les frais de vacations par 240 fr. et la TVA de 8 % sur le tout, ce qui porte l’indemnité d’office de Me Cvjetislav Todic à 4'763 fr. 35, TVA et débours compris.</w:t>
      </w:r>
    </w:p>
    <w:p>
      <w:r>
        <w:rPr>
          <w:b/>
        </w:rPr>
        <w:t>E. 7.4</w:t>
      </w:r>
    </w:p>
    <w:p>
      <w:r>
        <w:t>Dans sa liste d’opérations du 18 mai 2017, le conseil d’office de l’intimée a indiqué avoir consacré 20.1 heures de travail à la procédure d’appel et a fait valoir des débours à hauteur de 97 fr. 20 ainsi que deux vacations par 240 francs. Compte tenu de la nature et de la difficulté du litige, cette durée est admissible et peut être retenue. Il s’ensuit qu’au tarif horaire de 180 fr. (art. 2 al. 1 let. a RAJ [règlement sur l’assistance judiciaire en matière civile du 7 décembre 2010 ; RSV 211.02.3]), l’indemnité s’élève à 3’618 fr., montant auquel s’ajoutent les débours par 97 fr. 20, les frais de vacations par 240 fr. et la TVA de 8 % sur le tout, ce</w:t>
      </w:r>
    </w:p>
    <w:p>
      <w:r>
        <w:t>- 33 - qui porte l’indemnité d’office de Me Martine Rüdlinger à 4'271 fr. 60, TVA et débours compris.</w:t>
      </w:r>
    </w:p>
    <w:p>
      <w:r>
        <w:rPr>
          <w:b/>
        </w:rPr>
        <w:t>E. 7.5</w:t>
      </w:r>
    </w:p>
    <w:p>
      <w:r>
        <w:t>Les bénéficiaires de l'assistance judiciaire sont, dans la mesure de l'art. 123 CPC, tenus au remboursement des frais judiciaires et de l'indemnité à leur conseil d'office mis à la charge de l'Etat.</w:t>
      </w:r>
    </w:p>
    <w:p>
      <w:r>
        <w:rPr>
          <w:b/>
        </w:rPr>
        <w:t>E. 7.6</w:t>
      </w:r>
    </w:p>
    <w:p>
      <w:r>
        <w:t>Les dépens de deuxième instance sont compensés Par ces motifs, le juge délégué de la Cour d’appel civile prononce : I. La requête de mesures superprovisionnelles déposée le 11 mai 2017 par l’intimée U.W.________ est rejetée. II. L’appel est partiellement admis. III. L’ordonnance de mesures protectrices de l’union conjugale est modifiée aux chiffres III, VII, IX et XI comme il suit : III. dit que l’exercice du droit de visite de B.W.________ sur son fils C.W.________, né le [...] 2009, s’exercera par l’intermédiaire de Point Rencontre deux fois par mois, pour une durée maximale de 3 heures, avec sortie autorisée, en fonction du calendrier d’ouverture et conformément au règlement et aux principes de fonctionnement de Point Rencontre, qui sont obligatoires pour les deux parents ; VII. dit que B.W.________ contribuera à l’entretien de son fils C.W.________, né le [...] 2009, par le régulier versement, en mains d’U.W.________, le premier de chaque mois, d’une</w:t>
      </w:r>
    </w:p>
    <w:p>
      <w:r>
        <w:t>- 34 - pension de 390 fr. (trois cent nonante francs), allocations familiales en sus, dès le 1er mai 2016 ; IX. ordonne à la société [...], de prélever chaque mois, sur le salaire ou toute autre prestation versée à B.W.________, la somme de 657 fr. (six cent cinquante-sept francs) dès le 1er juillet 2017 et de la verser directement sur le compte d’U.W.________, auprès de la [...], compte no [...]) ; XI. Les dépens de première instance sont compensés. L’ordonnance est confirmée pour le surplus. IV. Les frais judiciaires de deuxième instance, arrêtés à 600 fr. (six cents francs), sont mis à la charge de l’appelant B.W.________, par 300 fr. (trois cents francs) et à la charge de l’intimée U.W.________, par 300 fr. (trois cents francs). V. L’indemnité d’office de Me Cvjetislav Todic, conseil d’office de l’appelant B.W.________, est arrêtée à 4'763 fr. 35 (quatre mille sept cent soixante-trois francs et trente-cinq centimes), TVA et débours compris. VI. L’indemnité d’office de Me Martine Rüdlinger, conseil d’office de l’intimée U.W.________, est arrêtée à 4'271 fr. 60 (quatre mille deux cent septante et un francs et soixante centimes), TVA et débours compris. VII. Les bénéficiaires de l'assistance judiciaire sont, dans la mesure de l'art. 123 CPC, tenus au remboursement des frais judiciaires et de l'indemnité à leur conseil d'office mis à la charge de l'Etat. VIII. Les dépens de deuxième instance sont compensés.</w:t>
      </w:r>
    </w:p>
    <w:p>
      <w:r>
        <w:t>- 35 - IX. L’arrêt est exécutoire. Le juge délégué : La greffière : Du Le présent arrêt, dont la rédaction a été approuvée à huis clos, est notifié en expédition complète à : - Me Cvjetislav Todic (pour B.W.________), - Me Olivier Boschetti (pour U.W.________), et communiqué, par l'envoi de photocopies, à : - Mme la Vice-Présidente du Tribunal civil de l’arrondissement de l’Est vaudois, - Point Rencontre, Fondation Jeunesse et Familles, Grand-Rue 23, 1814 La Tour-de-Peilz, - Me Martine Rüdlinger.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- 36 -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