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JS16.018406 vom 5. Mai 2017</w:t>
      </w:r>
    </w:p>
    <w:p>
      <w:r>
        <w:t>VD Tribunal cantonal, 2017-05-05, FR</w:t>
      </w:r>
    </w:p>
    <w:p>
      <w:r>
        <w:rPr>
          <w:b/>
        </w:rPr>
        <w:t xml:space="preserve">Quelle: </w:t>
      </w:r>
      <w:r>
        <w:t>https://mcp.opencaselaw.ch/entscheid/vd_gerichte_JS16.018406</w:t>
      </w:r>
    </w:p>
    <w:p>
      <w:r>
        <w:t>FR: VD_GERICHTE JS16.018406 du 5 mai 2017</w:t>
      </w:r>
    </w:p>
    <w:p>
      <w:r>
        <w:t>IT: VD_GERICHTE JS16.018406 del 5 maggio 2017</w:t>
      </w:r>
    </w:p>
    <w:p>
      <w:pPr>
        <w:pStyle w:val="Heading2"/>
      </w:pPr>
      <w:r>
        <w:t>Erwägungen</w:t>
      </w:r>
    </w:p>
    <w:p>
      <w:r>
        <w:rPr>
          <w:b/>
        </w:rPr>
        <w:t>E. 43</w:t>
      </w:r>
    </w:p>
    <w:p>
      <w:r>
        <w:t>et les réf. citées). Les conditions restrictives posées par l’art. 317 CPC pour l’introduction de faits ou de moyens de preuves s’appliquent de même aux</w:t>
      </w:r>
    </w:p>
    <w:p>
      <w:r>
        <w:t>- 17 -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(JdT 2011 III 43 et réf. cit.). En l'espèce, dès lors que le couple a des enfants mineurs, le litige est régi par la maxime inquisitoire illimitée de l'art. 296 CPC (Hohl, Procédure civile, Tome II, 2e éd., nn. 1166 ss et 2414 ss). L’appelante a produit un onglet de pièces comprenant, outre les pièces de forme (pièces A à C) et une pièce déjà versée au dossier de première instance (pièce J), des pièces nouvelles (pièces D à I et K). A l’exception de la photographie – non datée – d’une chaussure dont on ignore à qui elle appartient (pièce I), les pièces nouvelles produites en appel, toutes postérieures à l’audience du 9 novembre 2016, sont recevables. Elles sont donc susceptibles d'être examinées par le juge de l'appel en application de l'art. 317 al. 1 CPC. Les déterminations spontanées de l’appelante du 10 avril 2017 sont, quant à elles, irrecevables, car déposées après que les parties ont été informées que la cause était gardée à juger. 2.4 L'instance d'appel peut administrer les preuves (art. 316 al. 3 CPC). La mesure requise doit toutefois apparaître propre, sous l'angle de l'appréciation anticipée des preuves, à fournir la preuve attendue. L'instance d'appel peut ainsi refuser une mesure probatoire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(TF 5A_906/2012 du 18 avril 2013 consid. 5.1.2 ; TF 5A_695/2012 du 20 mars 2013 consid. 4.1.1 ; ATF 138 III 374 consid. 4.3.2).</w:t>
      </w:r>
    </w:p>
    <w:p>
      <w:r>
        <w:t>- 18 - Procédant à une appréciation anticipée des preuves, la Juge de céans considère que l’audition des enfants requise par l’appelante n’est pas de nature à apporter des éléments pertinents pour le jugement de la présente cause, en particulier pour trancher la question litigieuse d’un éventuel transfert de garde : P.________ et L.________ ont déjà été entendus par le SPJ dans le cadre de l’enquête en limitation de l’autorité parentale et il ne ressort pas du dossier que L.________ « voulait impérativement poser une question au juge » comme le prétend l’appelante. Au contraire, celui-ci, comme son frère, a manifesté son désir de n’être pas entendu en déclarant n’avoir rien à dire. Au demeurant, les souhaits de l'enfant ne sont pas déterminants face à l'argument du bien de l'enfant fondé sur des faits matériels (TF 5A_801/2011 du 29 février 2012 consid. 2.4.). Il n’y a donc pas lieu à ce stade d’entendre les enfants et d’administrer d’autres preuves. Il s’ensuit que les moyens tirés du déni de justice ainsi que de la violation du droit d’être entendu et de la maxime inquisitoire, qui, selon l’appelante, découleraient du refus du premier juge d’entendre les enfants, doivent être rejetés. 3. 3.1 L'appelante soutient que le premier juge a fait une mauvaise appréciation de la situation en maintenant la garde de fait des enfants P.________ et L.________ auprès de leur père. Elle invoque, à titre de faits nouveaux justifiant un transfert de garde, d’une part son évolution personnelle positive – soit le fait qu’elle serait désormais abstinente de toute substance psychotrope, que c’est elle qui aurait mis en place le suivi psychologique des enfants et qui aurait fait part à l’assistant social des difficultés rencontrées par ces derniers – et d’autre part des défaillances dans la prise en charge de P.________ et L.________ par leur père ; elle évoque sur ce dernier point la permissivité de l’intimé, les problèmes de comportement des enfants tant à l’école qu’à la maison et l’absence d’activités extrascolaires. De son côté, l’intimé conteste la nécessité d’un changement d’attribution, insistant sur le fait que les faits évoqués par l’appelante</w:t>
      </w:r>
    </w:p>
    <w:p>
      <w:r>
        <w:t>- 19 - étaient connus du premier juge, que l’instabilité émotionnelle des enfants devrait être mise en relation avec la séparation des parents et que les problèmes qu’ils rencontrent à l’école découleraient du fait que l’exercice du droit de visite se passerait mal. 3.2 3.2.1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réf. ; TF 5A_811/2012 du 18 février 2013 consid. 3.2 et réf. ; ATF 141 III 376 consid. 3.3.1).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w:t>
      </w:r>
    </w:p>
    <w:p>
      <w:r>
        <w:t>- 20 - consid. 3.2.2). Pour faire valoir de tels motifs, seules les voies de recours sont ouvertes (TF 5A_324/2012 du 15 août 2012 consid. 5 ; TF 5A_ 400/2012 du 25 février 2013 consid. 4.1 et réf. ; sur le tout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3.2.2 Aux termes de l’art. 176 al. 3 CC, relatif à l'organisation de la vie séparée, lorsque les époux ont des enfants mineurs, le juge ordonne les mesures nécessaires, d’après les dispositions sur les effets de la filiation. Cette réglementation porte notamment sur l'autorité parentale, la garde de l'enfant, les relations personnelles, la participation de chaque parent à la prise en charge de l'enfant et la contribution d'entretien. Selon le nouveau droit en vigueur depuis le 1er juillet 2014, l’autorité parentale inclut le droit de déterminer le lieu de résidence de l’enfant (art. 301a al. 1 CC). Les parents non mariés ou divorcés qui l’exercent conjointement doivent décider ensemble chez lequel d’entre eux l’enfant va habiter. En cas de désaccord, le choix du lieu de résidence de l’enfant, et partant l’attribution de la garde, se fait sur décision du juge (art. 301a al. 5 CC). Si ce n'est la compétence de déterminer le lieu de résidence de l'enfant, le nouveau droit ne modifie ni le contenu, ni les règles d'attribution de la garde, de sorte que les critères dégagés par la jurisprudence restent applicables (TF 5A_46/2015 du 26 mai 2015 consid. 4.4.2).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w:t>
      </w:r>
    </w:p>
    <w:p>
      <w:r>
        <w:t>- 21 -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ATF 117 II 353 consid. 3; ATF 115 II 206 consid. 4a; ATF 115 II 317 consid. 2; cf. aussi TF 5A_181/2008 du 25 avril 2008, FamPra.ch 4/2008.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consid. 3, in FamPra.ch 2012 p. 1094; Juge délégué CACI 22 janvier 2015/84 consid. 3.2.2).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consid. 4.1). 3.3 3.3.1 En l’espèce, les enfants P.________ et L.________ vivent auprès de leur père, au domicile conjugal, depuis la séparation des parents survenue à fin avril 2016. A l’audience du 31 mai 2016, les parties, assistées de leur conseil respectif, ont notamment convenu de confier la garde des enfants à leur père et ont réglé les modalités d’exercice du droit de visite de la mère, fixé, à défaut d’entente entre les parties, à chaque</w:t>
      </w:r>
    </w:p>
    <w:p>
      <w:r>
        <w:t>- 22 - week-end, du vendredi soir au dimanche soir, à la moitié des vacances scolaires et alternativement à Pâques ou Pentecôte, Noël ou Nouvel An. Cette convention, signée par les parties, a été ratifiée par le premier juge pour valoir ordonnance de mesures protectrices de l’union conjugale. Par requête de mesures protectrices de l’union conjugale du 7 septembre 2016, l’appelante a notamment conclu à ce que la garde sur les enfants P.________ et L.________ lui soit confiée. Statuant sur cette requête, qu’il a considérée comme une requête en modification de l’ordonnance du 31 mai 2016, le premier juge, se fondant en particulier sur les déclarations de l’assistant social B.________, a considéré que les faits allégués par l’appelante s’agissant de l’exercice par l’intimé de la garde de fait sur les enfants n’atteignaient pas le niveau de gravité dont elle se prévalait pour requérir un transfert de garde et qu’il n’existait aucune nouvelle circonstance de fait essentielle et durable justifiant une modification des mesures protectrices ordonnées en mai 2016. 3.3.2 Il est indéniable que les enfants P.________ et L.________ souffrent d’une situation conflictuelle entre leurs parents et qu’ils sont pris dans un conflit de loyauté qu’ils doivent gérer au mieux. Le contexte difficile dans lequel les enfants évoluent, empreint de tensions entre les parents qui peinent à communiquer et se dénigrent l’un l’autre, ne peut que les fragiliser et les déstabiliser, alors qu’ils ont besoin de repères, ce d’autant plus que l’aîné atteint l’âge délicat de l’adolescence. Déjà dans son rapport de fin d’enquête en limitation de l’autorité parentale du 23 mai 2016, le SPJ avait relevé chez les enfants d’importants signes de souffrance psychique et de dysfonctionnement sur le plan scolaire dus au climat de violence conjugale dans lequel ils vivaient. Les difficultés conjugales rencontrées par les parties avaient d’ailleurs été évoquées par P.________ lors de son premier entretien individuel dans le cadre de sa prise en charge, à partir d’octobre 2015, par le service de psychologie PPLS (psychologie, psychomotricité et logopédie en milieu scolaire), lequel avait fait état chez cet enfant d’un « stress aigu</w:t>
      </w:r>
    </w:p>
    <w:p>
      <w:r>
        <w:t>- 23 - et d’un manque de sécurité affective », le décrivant comme « agité, impulsif et angoissé ». Il ne fait ainsi aucun doute, bien que l’appelante le conteste, que le mal-être ressenti par L.________ et P.________, leurs problèmes comportementaux à l’école et les résultats scolaires – parfois insuffisants – de ce dernier, sont plus à mettre en lien avec le contexte général difficile du conflit parental qu’avec des défaillances dans leur prise en charge par l’intimé. Il apparaît certes, comme l’a relevé l’assistant social B.________, que le père est trop permissif quant à la gestion des jeux vidéo auxquels s’adonnent les enfants, tant en relation avec leur fréquence qu’avec leur type. Il ressort toutefois des déclarations dudit témoin, auxquelles se réfère d’ailleurs expressément l’appelante, qu’il n’y aucun élément permettant d’affirmer que les enfants seraient en danger chez leur père ni d’en déduire qu’un transfert de la garde à la mère s’imposerait. Alors que le SPJ faisait état, dans son rapport du 23 mai 2016, d’un « manque manifeste d’encadrement des enfants » lié au conflit parental, l’intimé est parvenu, malgré l’instabilité ressentie par P.________ et L.________ en réaction à ce conflit et à la séparation des parents, à mettre en place un cadre éducatif et à maintenir une certaine ligne de conduite, notamment lorsque les enfants sortent des limites fixées. L’intimé n’ignore pas les difficultés que rencontrent P.________ et L.________ tant à l’école qu’à la maison ; il a au contraire pris conscience du caractère nuisible du conflit conjugal pour les enfants. Il a en effet accueilli favorablement l’intervention du SPJ et a souscrit aux recommandations formulées, soit l’instauration d’une thérapie de famille au Centre de consultation [...], qui a été entamée à fin octobre 2016, et d'une mesure d’assistance éducative au sens de l’art. 308 al. 1 CC. Quant au suivi psychologique des enfants, c’est à tort que l’appelante soutient que c’est elle qui l’aurait mis en place, dès lors que, s’agissant de P.________, il ressort du courrier du 19 mai 2016 de la Fondation [...] que celui-ci a été pris en charge après qu’une demande avait été déposée « par les parents sur conseil des enseignants de P.________ ». En outre, le fait que les enfants n’aient plus d’activités extrascolaires, dont on ignore</w:t>
      </w:r>
    </w:p>
    <w:p>
      <w:r>
        <w:t>- 24 - les raisons, n’est pas pertinent, puisqu’il résulte des déclarations de B.________ que les enfants « jouent cependant beaucoup à l’extérieur ». S’agissant ensuite des problèmes d’hygiène que rencontreraient P.________ et L.________, ils ne sont pas suffisamment établis, la photographie non datée d’une chaussure trouée dont on ignore à qui elle appartient – supposée recevable (consid. 2.3 supra) – n’étant pas déterminante à cet égard. Force est d’ailleurs de constater que ces problèmes d’hygiène existaient du temps de la vie commune des parents, à tout le moins durant les derniers mois précédant la séparation, comme cela ressort du rapport du SPJ du 23 mai 2016, alors que l’assistant social B.________ n’en a plus fait état lors de son audition du 9 novembre 2016. Il ressort de ce qui précède que la situation familiale semble s’être quelque peu stabilisée, quand bien même le conflit de loyauté dont les enfants souffrent est vif et que les parents peinent encore à communiquer, de sorte que c’est à juste titre que le premier juge a retenu qu’il n’existait, de ce point de vue, aucune circonstance nouvelle au sens de l’art. 179 CC, l’instabilité émotionnelle des enfants ne pouvant être attribuée à la seule prise en charge de ceux-ci par leur père, mais étant, comme on l’a vu, à mettre en lien avec les évènements ayant entouré la séparation des parents. 3.3.3 Cela étant, l’évolution personnelle positive de l’appelante ne suffit pas, sous l’angle de l’intérêt des enfants, à justifier un transfert de garde, ce qui engendrerait une perte de continuité dans leur éducation et leurs conditions de vie. Il ressort des éléments qui précèdent, en particulier des déclarations de l’assistant social B.________, dont il n’y a pas de raison de s’écarter, que la stabilité des enfants dans leur prise en charge doit être privilégiée afin de favoriser leur bien-être et leur épanouissement personnel, le règlement par les parties de leur conflit – nécessaire à cette stabilité – devant se faire par la thérapie et non au travers de la garde.</w:t>
      </w:r>
    </w:p>
    <w:p>
      <w:r>
        <w:t>- 25 - 3.3.4 Au vu de ce qui précède, il y a lieu, dans l’intérêt des enfants, de confirmer l’ordonnance attaquée en tant qu’elle maintient la garde de fait exclusive de P.________ et L.________ à leur père. 4. L’appelante requiert l’attribution du logement conjugal du fait qu’elle demande également le droit de garde sur les enfants. Dans la mesure où sa conclusion tendant au transfert de la garde de fait est rejetée, rien ne justifie de modifier l’attribution de la jouissance du domicile conjugal. 5. 5.1 Enfin, l’appelante invoque l’absence de fait nouveau conduisant à réexaminer le principe et la quotité d’une éventuelle contribution d’entretien mise à sa charge en faveur de ses enfants et soutient à titre subsidiaire que dans l’hypothèse – réalisée en l’espèce – où l’intimé serait maintenu dans son rôle de parent gardien, le montant de la contribution d’entretien devrait être réduit à 500 fr. par enfant. 5.2 Les nouvelles dispositions sur l’entretien de l’enfant sont applicables depuis le 1er janvier 2017 (RO 2015 4304). Elles sont également applicables aux procédures en cours à l’entrée en vigueur de ces modifications (art. 13cbis al. 1 Tit. Fin. CC ; 407b CPC). Or, l’entrée en vigueur des nouvelles dispositions en matière d’entretien représente à lui seul une circonstance nouvelle au sens de l’art. 179 al. 1 CC (consid. 3.2.1 supra) imposant au juge de revoir la contribution d’entretien sous l’angle du nouveau droit (Schwander, in Schweizerische Zivilprozessordnung (ZPO) Kommentar, Brunner/Gasser/Schwander [éd.], 2016, nn. 6-7 ad art. 407b CPC). C’est donc à juste titre que le premier juge est entré en matière sur la requête en modification des mesures protectrices de l’union conjugale formée par D.C.________ et qu’il a procédé à un nouvel examen</w:t>
      </w:r>
    </w:p>
    <w:p>
      <w:r>
        <w:t>- 26 - des éléments pris en considération dans le calcul de la contribution d'entretien convenue par les parties lors de l’audience du 31 mai 2016. 5.3 5.3.1 Si le législateur a renoncé à codifier une méthode de calcul de la contribution d'entretien, plus particulièrement de la contribution de prise en charge, la doctrine estime, dans le cadre du nouveau droit,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 8 ; Spycher, Kindesunterhalt : Rechtliche Grundlagen und praktische Herausforderungen – heute und demnächst, in FamPra.ch 1/2016, pp. 1 ss, spéc. p. 8 ; Bähler, Unterhaltsberechnungen – von der Methode zu den Franken, FamPra.ch 1/2015, p. 271ss, spéc. p. 321 [cité : Bähler]; Rüetschi/Spycher, Revisionsbestrebungen im Unterhaltsrecht : aktueller Stand und Ausblick, in Schwenzer/Büchler/Frankhauser [éd.], Siebte Schweizer Familienrecht§Tage, 2014, p. 115 ss, p. 167 [cité : Hausheer/Spycher]). La doctrine s'accorde en revanche à dire que la méthode concrète du minimum vital élargi avec répartition éventuelle de l'excédent pourrait se révéler adéquate pour le calcul des contributions d'entretien en faveur des enfants et du conjoint, notamment lorsque la situation financière n'est pas aisée, cette méthode pouvant facilement être adaptée pour rester équitable dans des situations de grande aisance ou au contraire de précarité sévère (Guillod, La détermination de l’entretien de l’enfant, in Bohnet/Dupont [éd.], Le nouveau droit de l’entretien de l’enfant et du partage de la prévoyance, 2016, n. 21 p. 10).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w:t>
      </w:r>
    </w:p>
    <w:p>
      <w:r>
        <w:t>- 27 -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22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due pour les enfants mineurs, un disponible subsiste, celui-ci devra être réparti entre les conjoints (Stoudmann, loc. cit.). 5.3.2 En l’occurrence, l’appelante ne conteste pas l’utilisation par le premier juge des tabelles zurichoises pour établir le coût moyen des enfants, ni le montant de l’entretien convenable fixé à 1'160 fr. par enfant sur la base de ces tabelles, de sorte qu’il n’y a pas de raison de revenir sur l’appréciation du premier juge à cet égard. L’appelante fait valoir qu’un montant de 125 fr. à titre de franchise LAMAL devrait être ajouté à ses charges – non contestées –, de sorte qu’elle présenterait un excédent de 998 fr., ce qui réduirait à 500 fr. (montant arrondi) la pension mensuelle due à chaque enfant. Le raisonnement de l’appelante est correct. En effet, il ressort de l’ordonnance attaquée que l’appelante utilise la totalité de sa franchise LAMAL, laquelle est de 1'500 fr. par an, de sorte qu’il se justifie de retenir</w:t>
      </w:r>
    </w:p>
    <w:p>
      <w:r>
        <w:t>- 28 - le montant correspondant, mensualisé, soit (1’500/12) 125 fr., dans ses charges incompressibles. Sans tenir compte de la franchise LAMAL précitée, les charges minimales incompressibles de l’appelante résultant du calcul de son minimum vital s’élèvent à 1'773 fr., comme retenu par le premier juge, de sorte qu’en y ajoutant la charge mensualisée des frais médicaux non couverts en raison de la franchise LAMAL, le total des charges incompressibles mensuelles de l’appelante s’élève à (1'773 + 125) 1'898 francs. Le revenu mensuel net moyen de la requérante étant de 2'896 fr., son disponible est de (2'896 – 1'898) 998 fr. et non de 1'123 fr. comme retenu par le premier juge. Il s’ensuit que le montant total des contributions à l’entretien de ses enfants P.________ et L.________ fixé à 1'500 fr. porte atteinte au minimum vital de l’appelante et doit être réduit au montant de son disponible, soit à 998 francs. En définitive, la contribution d’entretien mensuelle due par l’appelante en faveur de P.________ et L.________ s’élève à 499 fr. par enfant. L’appelante ayant admis le versement d’un montant arrondi à 500 fr. par enfant, il sera statué en ce sens. 6. 6.1 Il découle des considérants qui précèdent que l’appel doit être partiellement admis et l’ordonnance réformée en ce sens que D.C.________ contribuera à l’entretien de chacun de ses enfants par le versement d’une pension mensuelle de 500 fr., allocations familiales en sus, payable d’avance le premier de chaque mois à B.C.________. 6.2 Vu l’issue de l’appel, les frais judiciaires de deuxième instance, fixés à 600 fr. (art. 65 al. 2 TFJC [tarif des frais judiciaires civils du 28 septembre 2010 ; RSV 270.11.5], seront mis la charge de l’appelante par 450 fr. (correspondant à 3/4 de 600 fr.) et à la charge de l’intimé par 150 fr. (correspondant à 1/4 de 600 fr.). Compte tenu de l’octroi de l’assistance judiciaire à chacune des parties, les frais judiciaires seront provisoirement laissés à la charge de l’Etat (art. 122 al. 1 let. b CPC).</w:t>
      </w:r>
    </w:p>
    <w:p>
      <w:r>
        <w:t>- 29 - 6.3 La charge des dépens est évaluée à 2'800 fr. pour chaque partie, de sorte que, compte tenu de ce que les frais – comprenant les frais judiciaires et les dépens (art. 95 al. 1 CPC) – doivent être mis à la charge de l’appelante à raison de trois quarts et de l’intimé à raison d’un quart, l’appelante versera en définitive à l’intimé la somme de 1'400 fr. (3/4 – 1/4 = 1/2 de 2'800 fr.) à titre de dépens de deuxième instance (art. 7 TDC [tarif des dépens en matière civile du 23 novembre 2010 ; RSV 270.11.6]). L’assistance judiciaire ne dispense en effet pas du versement des dépens à la partie adverse (art. 118 al. 3 CPC). 6.4 En leur qualité de conseils d'office, Me Matthieu Genillod, conseil d’office de D.C.________, et Me Sébastien Pedroli, conseil d’office de B.C.________,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211.02.3]). Dans sa liste d’opérations du 4 avril 2017, Me Matthieu Genillod a indiqué avoir consacré 7.55 heures de travail à la procédure d’appel. Compte tenu de la nature et de la complexité relative du litige, cette durée est admissible et peut être retenue. Il s’ensuit qu’au tarif horaire de 180 fr. (art. 2 al. 1 let. a RAJ), l’indemnité de Me Matthieu Genillod s’élève à 1'359 fr., montant auquel s’ajoutent les débours par 16 fr. 40 et la TVA de 8 % sur le tout par 110 fr., soit 1'485 fr. 40, arrondis à 1486 fr. au total. Me Sébastien Pedroli a indiqué dans son relevé d'opérations du 3 avril 2017 avoir consacré 275 minutes au dossier. Eu égard aux caractéristiques de la cause, cette durée est admissible et peut être retenue. S’agissant des débours, les frais de photocopies allégués à hauteur de 25 fr. 80 ne seront pas pris en compte, ces derniers étant</w:t>
      </w:r>
    </w:p>
    <w:p>
      <w:r>
        <w:t>- 30 - compris dans les frais généraux (cf. CREC 8 juin 2016/200 ; Juge délégué CACI 26 mai 2016/266 et la réf. cit. ; CREC 14 novembre 2013/377). Il s'ensuit qu'au tarif horaire de 180 fr., l'indemnité de Me Sébastien Pedroli doit être fixée à 825 fr., montant auquel s'ajoutent les débours par 16 fr. 80 et la TVA sur le tout par 67 fr. 30, soit 909 fr. 10, arrondis à 910 fr. au total. Dans la mesure de l’art. 123 CPC, les bénéficiaires de l’assistance judiciaire seront tenus au remboursement des frais judiciaires et de l’indemnité à leur conseil d’office laissés à la charge de l’Etat. Par ces motifs, la Juge déléguée de la Cour d’appel civile prononce : I. L’appel est partiellement admis. II. L’ordonnance est réformée comme il suit aux chiffres II et IV de son dispositif : II. astreint D.C.________ à contribuer à l’entretien de son fils P.________, né le [...] 2005, par le versement d’une pension mensuelle de 500 fr. (cinq cents francs), allocations familiales en sus, payable d’avance le premier de chaque mois à B.C.________ dès le 1er novembre 2016. IV. astreint D.C.________ à contribuer à l’entretien de son fils L.________, né le [...] 2008, par le versement d’une pension mensuelle de 500 fr. (cinq cents francs), allocations familiales en sus, payable d’avance le premier de chaque mois à B.C.________ dès le 1er novembre 2016.</w:t>
      </w:r>
    </w:p>
    <w:p>
      <w:r>
        <w:t>- 31 - L’ordonnance est confirmée pour le surplus. III. Les frais judiciaires de deuxième instance, arrêtés à 450 fr. (quatre cent cinquante francs) pour l'appelante D.C.________ et à 150 fr. (cent cinquante francs) pour l’intimé B.C.________, sont provisoirement laissés à la charge de l’Etat. IV. L’indemnité d’office de Me Matthieu Genillod, conseil d’office de l’appelante D.C.________, est arrêtée à 1'486 fr. (mille quatre cent huitante-six francs), montant arrondi, TVA et débours compris. V. L’indemnité d’office de Me Sébastien Pedroli, conseil d’office de l’intimé B.C.________, est arrêtée à 910 fr. (neuf cent dix francs), montant arrondi, TVA et débours compris. VI. Les bénéficiaires de l’assistance judiciaire sont, dans la mesure de l’art. 123 CPC, tenus au remboursement des frais judiciaires et de l’indemnité au conseil d’office mis à la charge de l’Etat. VII. L’appelante D.C.________ doit verser à l’intimé B.C.________ la somme de 1'400 fr. (mille quatre cents francs), à titre de dépens de deuxième instance. VIII. L’arrêt est exécutoire. La juge déléguée : Le greffier :</w:t>
      </w:r>
    </w:p>
    <w:p>
      <w:r>
        <w:t>- 32 - Du Le présent arrêt, dont la rédaction a été approuvée à huis clos, est notifié en expédition complète à : - Me Matthieu Genillod (pour D.C.________), - Me Sébastien Pedroli (pour B.C.________),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