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JS16.001803 vom 9. Juni 2016</w:t>
      </w:r>
    </w:p>
    <w:p>
      <w:r>
        <w:t>VD Tribunal cantonal, 2016-06-09, FR</w:t>
      </w:r>
    </w:p>
    <w:p>
      <w:r>
        <w:rPr>
          <w:b/>
        </w:rPr>
        <w:t xml:space="preserve">Quelle: </w:t>
      </w:r>
      <w:r>
        <w:t>https://mcp.opencaselaw.ch/entscheid/vd_gerichte_JS16.001803</w:t>
      </w:r>
    </w:p>
    <w:p>
      <w:r>
        <w:t>FR: VD_GERICHTE JS16.001803 du 9 juin 2016</w:t>
      </w:r>
    </w:p>
    <w:p>
      <w:r>
        <w:t>IT: VD_GERICHTE JS16.001803 del 9 giugno 2016</w:t>
      </w:r>
    </w:p>
    <w:p>
      <w:pPr>
        <w:pStyle w:val="Heading2"/>
      </w:pPr>
      <w:r>
        <w:t>Erwägungen</w:t>
      </w:r>
    </w:p>
    <w:p>
      <w:r>
        <w:rPr>
          <w:b/>
        </w:rPr>
        <w:t>E. 3.1</w:t>
      </w:r>
    </w:p>
    <w:p>
      <w:r>
        <w:t>L’appelant reproche tout d’abord au premier juge d’avoir fixé une contribution d’entretien supérieure à celle convenue précédemment par les parties alors même que l’intimée percevait depuis lors un revenu supplémentaire et que lui-même avait une charge de loyer supplémentaire. Selon lui, la contribution d’entretien de 7'500 fr. aurait ainsi dû être réduite pour tenir compte de la modification de leurs situations financières par rapport à celles qui prévalaient au moment de fixer la contribution initiale.</w:t>
      </w:r>
    </w:p>
    <w:p>
      <w:r>
        <w:rPr>
          <w:b/>
        </w:rPr>
        <w:t>E. 3.2</w:t>
      </w:r>
    </w:p>
    <w:p>
      <w:r>
        <w:t>L’art. 179 al. 1 CC prévoit notamment qu’à la requête d’un époux, le juge ordonne les modifications commandées par les faits nouveaux et rapporte les mesures prises lorsque les causes qui les ont déterminées n’existent plus. Lorsque la vie séparée est régie par une convention qui n’a pas été soumise à la ratification du juge, la modification de l’accord portant sur la contribution d’entretien n’est pas soumise aux conditions restrictives de l’art. 179 CC et le juge peut examiner librement la convention, du moins lorsque l’époux qui conteste que les circonstances se soient modifiées ne requiert pas la ratification de la convention initiale (De Luze/Page/Stoudmann, Droit de la famille, Code annoté, 2013, n. 1.8 ad art. 179 CC et la référence KG/SG 14.10.2011, SG GVP 2011 p. 148 no 40).</w:t>
      </w:r>
    </w:p>
    <w:p>
      <w:r>
        <w:rPr>
          <w:b/>
        </w:rPr>
        <w:t>E. 3.3</w:t>
      </w:r>
    </w:p>
    <w:p>
      <w:r>
        <w:t>En l’espèce, l’art. 179 al. 1 CC n’est pas applicable en l’espèce, la convention conclue initialement entre les parties en dehors de tout cadre judiciaire ne pouvant servir de référence pour le calcul de la contribution d’entretien à fixer. L’appelant ne saurait donc être suivi sur ce point, le juge devant procéder à un examen complet de la situation des parties sans égard à ce qu’avaient convenu les parties précédemment.</w:t>
      </w:r>
    </w:p>
    <w:p>
      <w:r>
        <w:t>- 11 -</w:t>
      </w:r>
    </w:p>
    <w:p>
      <w:r>
        <w:rPr>
          <w:b/>
        </w:rPr>
        <w:t>E. 4.1</w:t>
      </w:r>
    </w:p>
    <w:p>
      <w:r>
        <w:t>L’appelant reproche ensuite au premier juge d’avoir tenu compte d’un revenu mensuel net moyen de 17'218 fr. sur la base de ses revenus annuels de 2013 à 2015 comprenant une commission annuelle variable, celle-ci n’ayant jamais été aussi élevée que durant les trois années prises en compte. Il fait ainsi valoir que pour l’année 2016, il percevra au maximum un revenu d’environ 190'000 fr., soit mensuellement 15'500 fr., dont 5'568 fr. 40 de commissions. L’appelant soutient également qu’avec un revenu mensuel fixe de 9'198 fr. 40, il ne lui sera pas possible, compte tenu du montant de ses charges mensuelles, de verser la contribution d’entretien fixée sans subir une crise de liquidité insoluble, cela d’autant qu’il ne dispose pratiquement pas d’économies.</w:t>
      </w:r>
    </w:p>
    <w:p>
      <w:r>
        <w:rPr>
          <w:b/>
        </w:rPr>
        <w:t>E. 4.2</w:t>
      </w:r>
    </w:p>
    <w:p>
      <w:r>
        <w:t>Le revenu déterminant pour la fixation de la contribution d'entretien est le revenu effectif ou effectivement réalisable, soit s'agissant des revenus du travail, le revenu net, cotisations sociales déduites.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Si des parts de salaire (p.ex.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 Bastons Bulletti, L’entretien après divorce, SJ 2007 II 77, note infrapaginale n°18 ).</w:t>
      </w:r>
    </w:p>
    <w:p>
      <w:r>
        <w:rPr>
          <w:b/>
        </w:rPr>
        <w:t>E. 4.3</w:t>
      </w:r>
    </w:p>
    <w:p>
      <w:r>
        <w:t>En l’espèce, l’appelant se contente d’affirmer que son revenu de 2016 sera moindre, que les années 2013 à 2015, surnommées « les</w:t>
      </w:r>
    </w:p>
    <w:p>
      <w:r>
        <w:t>- 12 - trois glorieuses », auraient permis un revenu variable exceptionnellement important mais que tel ne sera pas le cas en 2016 en raison de la conjoncture défavorable, de la baisse du marché boursier et du prix du pétrole. Il ne fournit aucun élément probant à cet égard, même au stade de la vraisemblance, se contentant d’alléguer ses propres estimations de son revenu 2016. Or, on ne saurait considérer que c’est un fait notoire que tous les revenus réalisés dans le domaine de la gestion de comptes diminueront drastiquement en 2016, comme semble le prétendre l’appelant. On relèvera enfin qu’il n’a pas produit les décomptes des commissions perçues en février et mai de cette année pour rendre vraisemblable ses allégations. Finalement, une bonne gestion des commissions variables qui ne sont pas versées chaque mois permettra à l’appelant de ne pas devoir subir un manque de liquidité. Dans le cas contraire, ce n’est pas à son épouse de supporter les conséquences d’éventuelles dépenses excessives de sa part. Partant, ce grief se révèle également infondé.</w:t>
      </w:r>
    </w:p>
    <w:p>
      <w:r>
        <w:rPr>
          <w:b/>
        </w:rPr>
        <w:t>E. 5.1</w:t>
      </w:r>
    </w:p>
    <w:p>
      <w:r>
        <w:t>L’appelant ne conteste pas l’application par le premier juge de la méthode du minimum vital avec répartition de l’excédent pour calculer la contribution d’entretien due. Il conteste en revanche certains postes de charges.</w:t>
      </w:r>
    </w:p>
    <w:p>
      <w:r>
        <w:rPr>
          <w:b/>
        </w:rPr>
        <w:t>E. 5.2</w:t>
      </w:r>
    </w:p>
    <w:p>
      <w:r>
        <w:t>Le premier juge a retenu les charges mensuelles suivantes pour l’appelant : - minimum vital (150 fr. pour le droit de visite inclus) Fr. 1'350.- - loyer Fr. 1'500.- - assurance-maladie (LCA inclue) Fr. 475.90 - frais médicaux (franchise) Fr. 208.30 - frais de repas Fr. 238.35 - impôts courants (estimation) Fr. 1'400.- - frais de transport (SAN/assurance/essence, VD [...]) Fr. 100.- - frais de transport (SAN/assurance/essence, VS [...]) Fr. 400.- Total Fr. 5'672.55</w:t>
      </w:r>
    </w:p>
    <w:p>
      <w:r>
        <w:t>- 13 - Il a retenu les charges mensuelles suivantes pour l’intimée : - minimum vital Fr. 1'350.- - minimum vital (F.B.________) (400 – 300 fr. d’alloc. fam.) Fr. 100.- - loyer Fr. 2'590.- - place de parc Fr. 140.- - Swisscaution (399 fr. : 12) Fr. 33.25 - assurance-maladie (LCA inclue) Fr. 577.40 - assurance-maladie F.B.________ (LCA inclue) Fr. 209.80 - frais médicaux non couverts (franchise) Fr. 208.30 - frais médicaux non couverts par LAMal Fr. 38.05 - assurance dentaire F.B.________ Fr. 14.- - cantine F.B.________ (accueil du midi) Fr. 302.40 - cours de sport F.B.________ (1'260 fr. par semestre) Fr. 210.- - cours de piano F.B.________ Fr. 250.- - impôts courants (estimation) Fr. 1'400.- - frais de recherche d’emploi Fr. 150.- - frais de transport (SAN/assurance/essence) Fr. 500.- Total Fr. 8'073.20</w:t>
      </w:r>
    </w:p>
    <w:p>
      <w:r>
        <w:rPr>
          <w:b/>
        </w:rPr>
        <w:t>E. 5.3.1</w:t>
      </w:r>
    </w:p>
    <w:p>
      <w:r>
        <w:t>L’appelant soutient d’abord que le montant de 150 fr. par mois retenu dans ses charges à titre de frais de droit de visite devrait être augmenté à 250 fr. (150 fr. x 6.5/4) pour tenir compte du fait que ce droit a été fixé de manière plus large (6,5 jours par mois environ) qu’un droit de visite usuel (4 jours par mois environ).</w:t>
      </w:r>
    </w:p>
    <w:p>
      <w:r>
        <w:rPr>
          <w:b/>
        </w:rPr>
        <w:t>E. 5.3.2</w:t>
      </w:r>
    </w:p>
    <w:p>
      <w:r>
        <w:t>En cas de droit de visite élargi, un supplément pour l'exercice du droit de visite pourra être retenu dans le budget du parent visiteur (Juge délégué CACI 20 septembre 2012/430). Cette question relève toutefois du pouvoir d’appréciation du juge (TF 5A_92/2014 du 23 juillet 2014 consid. 3.1; TF 5A_693/2014 du 1er décembre 2014 consid. 3.2, FamPra.ch 2015 p. 261)</w:t>
      </w:r>
    </w:p>
    <w:p>
      <w:r>
        <w:rPr>
          <w:b/>
        </w:rPr>
        <w:t>E. 5.3.3</w:t>
      </w:r>
    </w:p>
    <w:p>
      <w:r>
        <w:t>En l’espèce, force est constater que le droit de visite usuel est peu élargi et que le fait, pour l’appelant, d’avoir l’enfant auprès de lui du</w:t>
      </w:r>
    </w:p>
    <w:p>
      <w:r>
        <w:t>- 14 - jeudi soir au vendredi matin n’engendre pas de frais supplémentaire en dehors du repas du soir et du petit déjeuner. Cela n’est pas comparable avec les week-ends pendant lesquels le parent qui exerce les relations personnelles doit pouvoir prévoir des activités. Compte tenu de la situation favorable des parties, il paraît justifié de renoncer à intégrer dans le budget de l’appelant les frais assumés pour ces deux repas supplémentaires.</w:t>
      </w:r>
    </w:p>
    <w:p>
      <w:r>
        <w:rPr>
          <w:b/>
        </w:rPr>
        <w:t>E. 5.4.1</w:t>
      </w:r>
    </w:p>
    <w:p>
      <w:r>
        <w:t>L’appelant reproche également au premier juge d’avoir retenu des charges fiscales d’un montant égal à 1'400 fr. pour chacune des parties, alors que celles-ci n’avaient pas les mêmes revenus et ne disposaient pas du même coefficient. Selon lui, en tenant compte de la contribution d’entretien de 6'650 fr. à laquelle il concluait, il y aurait lieu de prendre en considération un montant de 1'400 fr. pour son épouse et de 2'500 fr. pour lui-même.</w:t>
      </w:r>
    </w:p>
    <w:p>
      <w:r>
        <w:rPr>
          <w:b/>
        </w:rPr>
        <w:t>E. 5.4.2</w:t>
      </w:r>
    </w:p>
    <w:p>
      <w:r>
        <w:t>Lorsque la charge fiscale est prise en compte, elle doit l'être chez les deux époux (TF 5A_828/2014 du 25 mars 2015 consid. 6.3). Cela présuppose de faire une évaluation de la charge fiscale future des parties en fonction des contributions fixées. A cet effet, on peut utiliser la calculette de l'Administration cantonale des impôts. Le TF a fait référence à de telles simulations d'impôts disponibles sur des sites de l'administration fiscale (TF 5A_475/2011 du 12 décembre 2011 consid. 6.1.1.), méthode qui comporte toutefois une part d'incertitude (ATF 121 III 20 consid. 3a p. 22 et les arrêts cités) dans la mesure où elle n’opère aucune distinction entre le revenu net et le revenu imposable.</w:t>
      </w:r>
    </w:p>
    <w:p>
      <w:r>
        <w:rPr>
          <w:b/>
        </w:rPr>
        <w:t>E. 5.4.3</w:t>
      </w:r>
    </w:p>
    <w:p>
      <w:r>
        <w:t>En l’espèce, le dossier ne contient aucune pièce susceptible d’établir ou d’estimer le montant payé par les parties au fisc. L’appelant ne rend ainsi pas vraisemblable son allégation. Par ailleurs, force est d’admettre que les revenus des parties après paiement de la contribution d’entretien telle que retenue par le premier juge s’élèveraient pour l’épouse, à 11'100 fr. (2'500 fr. + 8'600</w:t>
      </w:r>
    </w:p>
    <w:p>
      <w:r>
        <w:t>- 15 - fr.), et pour l’appelant à 8'618 fr. (17'218 – 8'600 fr.). Même si les résultats de la calculette de l’Etat de Vaud sont manifestement excessifs compte tenu du fait qu’ils ne tiennent pas compte des nombreuses déductions possibles, ils permettent de constater que le coefficient familial de 1.8 dont bénéficie l’intimée ne compensera pas totalement son revenu plus élevé (le logiciel parvient à un montant mensuel de 2'225 fr. 60 pour l’intimée et de 1'936 fr. pour l’appelant). Il est ainsi peu probable que l’intimée doive s’acquitter d’un montant moins important que celui de l’appelant, étant précisé que l’appelant pourra notamment déduire, contrairement à son épouse, des déplacements et des frais de repas professionnels.</w:t>
      </w:r>
    </w:p>
    <w:p>
      <w:r>
        <w:rPr>
          <w:b/>
        </w:rPr>
        <w:t>E. 5.5.1</w:t>
      </w:r>
    </w:p>
    <w:p>
      <w:r>
        <w:t>L’appelant conteste encore les frais de transport retenus à hauteur de 500 fr. pour chacune des parties. Il relève à cet égard que son lieu de travail se trouve à 40 km de son logement, que son épouse est au chômage et que l’école de F.B.________ se trouve à cinq minutes à pied du domicile. Selon ses calculs, ses propres frais pour ses deux véhicules s’élèveraient en réalité à 791 fr. 30 et ceux de son épouse à 313 fr. par mois.</w:t>
      </w:r>
    </w:p>
    <w:p>
      <w:r>
        <w:rPr>
          <w:b/>
        </w:rPr>
        <w:t>E. 5.5.2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 En ce qui concerne le montant retenu à ce titre, un certain schématisme peut être admis dès lors que les coûts effectifs de ces</w:t>
      </w:r>
    </w:p>
    <w:p>
      <w:r>
        <w:t>- 16 - charges dépendent d'une multitude de facteurs qu'il n'est pas aisé de déterminer, cela d'autant plus lorsqu'on se trouve en procédure sommaire (Juge délégué CACI 27 septembre 2013/508).</w:t>
      </w:r>
    </w:p>
    <w:p>
      <w:r>
        <w:rPr>
          <w:b/>
        </w:rPr>
        <w:t>E. 5.5.3</w:t>
      </w:r>
    </w:p>
    <w:p>
      <w:r>
        <w:t>En l’espèce, les frais de scooter de l’appelant, en sus des frais de sa voiture, n’ont pas à être pris en compte. Quant à l’intimée, elle est à la recherche d’un emploi et a la garde de l’enfant F.B.________, âgé de six ans, qui a des activités extrascolaires (sport et piano). Compte tenu de ces éléments, on ne saurait reprocher au premier juge d’avoir tenu compte des mêmes frais de véhicule pour les deux parties, ce qui est conforme aux principes rappelés ci-dessus. Cela étant, même si les frais de véhicule de l’appelant pouvaient effectivement s’avérer un peu plus élevés que ceux de l’intimée, ils pourraient être compensés par la charge fiscale qui sera, comme on l’a vu précédemment, très probablement moins élevée pour l’appelant que pour son épouse.</w:t>
      </w:r>
    </w:p>
    <w:p>
      <w:r>
        <w:rPr>
          <w:b/>
        </w:rPr>
        <w:t>E. 5.6.1</w:t>
      </w:r>
    </w:p>
    <w:p>
      <w:r>
        <w:t>L’appelant reproche finalement au premier juge d’avoir exclu la prise en compte de son assurance-vie dans ses charges, faisant valoir qu’il s’acquitte à ce titre d’un montant mensuel de 564 francs, qu’il ne peut les interrompre selon son bon-vouloir et que cette charge, qui couvrait une éventuelle incapacité de travail de sa part, était injustement traitée de manière identique avec le versement mensuel de son épouse d’un montant sur un compte 3e pilier.</w:t>
      </w:r>
    </w:p>
    <w:p>
      <w:r>
        <w:rPr>
          <w:b/>
        </w:rPr>
        <w:t>E. 5.6.2</w:t>
      </w:r>
    </w:p>
    <w:p>
      <w:r>
        <w:t>Les assurances 3e pilier n'ont pas à être prises en compte dans les charges incompressibles, car il s'agit de montants servant à la constitution du patrimoine (TF 5A_608/2011 du 13 décembre 2011 consid. 6.2.3). Il peut toutefois s’ajouter au minimum vital élargi lorsque la situation financière est favorable (TF 5A_876/2014 du 3 juin 2015) et qu’elles couvrent des risques qui concernent la communauté conjugale ou l’entretien commun (ATF 114 II 26 consid. 2a, 114 II 393 consid. 4b et c ; TF du 28 novembre 2003, FamPra.ch 2004 p. 401 n. 43).</w:t>
      </w:r>
    </w:p>
    <w:p>
      <w:r>
        <w:t>- 17 -</w:t>
      </w:r>
    </w:p>
    <w:p>
      <w:r>
        <w:rPr>
          <w:b/>
        </w:rPr>
        <w:t>E. 5.6.3</w:t>
      </w:r>
    </w:p>
    <w:p>
      <w:r>
        <w:t>En l’espèce, le montant de 564 fr. aurait ainsi pu être ajouté aux charges de l’appelant. Dans la mesure où il constitue également, en sus de sa fonction d’assurance, une épargne destinée à constituer du patrimoine, il aurait aussi été justifié, par soucis d’égalité de traitement – quoi qu’en dise l’appelant et même si la cotisation sur un compte 3e pilier n’a pas la fonction d’assurance au sens strict du terme –, de tenir compte de 561 fr. 50 dans les charges de l’intimée. Compte tenu du fait que le premier juge a partagé le disponible par moitié, cela ne change rien au montant de la pension retenu par le premier juge.</w:t>
      </w:r>
    </w:p>
    <w:p>
      <w:r>
        <w:rPr>
          <w:b/>
        </w:rPr>
        <w:t>E. 6</w:t>
      </w:r>
    </w:p>
    <w:p>
      <w:r>
        <w:t>Au vu de ce qui précède, l’appel doit être rejeté et l’ordonnance confirmée. Vu l’issue de l’appel, les frais judiciaires de deuxième instance, arrêtés à 1’200 fr. (art. 65 al. 2 et 4 TFJC [tarif des frais judiciaires civils du 28 septembre 2010; RSV 270.11.5]), seront mis à la charge de l’appelant qui succombe (art. 106 al. 1 CPC). L’appelant versera un montant de 200 fr. à l’intimée, qui s’est déterminée sur la requête d’effet suspensif. Par ces motifs, la juge déléguée de la Cour d’appel civile prononce : I. L’appel est rejeté. II. L’ordonnance est confirmée. III. Les frais judiciaires de deuxième instance, arrêtés à 1'200 fr. (mille deux cents francs), sont mis à la charge de l’appelant A.B.________.</w:t>
      </w:r>
    </w:p>
    <w:p>
      <w:r>
        <w:t>- 18 - IV. L’appelant versera à l’intimée E.B.________ la somme de 200 fr. (deux cents francs) à titre de dépens de deuxième instance. V. L’arrêt motivé est exécutoire. La juge déléguée : La greffière : Du 10 juin 2016 Le dispositif du présent arrêt est communiqué par écrit aux intéressés. La greffière : Du Le présent arrêt, dont la rédaction a été approuvée à huis clos, est notifié en expédition complète à : - Me Bernard de Chedid (pour A.B.________), - Me Dominique-Anne Kirchhofer (pour E.B.________), et communiqué, par l'envoi de photocopies, à : - Mme la Présidente du Tribunal civil de l’arrondissement de La Côte. La juge déléguée de la Cour d’appel civile considère que la valeur litigieuse est supérieure à 30’000 francs.</w:t>
      </w:r>
    </w:p>
    <w:p>
      <w:r>
        <w:t>- 19 -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