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JS16.000684 vom 28. Juni 2016</w:t>
      </w:r>
    </w:p>
    <w:p>
      <w:r>
        <w:t>VD Tribunal cantonal, 2016-06-28, FR</w:t>
      </w:r>
    </w:p>
    <w:p>
      <w:r>
        <w:rPr>
          <w:b/>
        </w:rPr>
        <w:t xml:space="preserve">Quelle: </w:t>
      </w:r>
      <w:r>
        <w:t>https://mcp.opencaselaw.ch/entscheid/vd_gerichte_JS16.000684</w:t>
      </w:r>
    </w:p>
    <w:p>
      <w:r>
        <w:t>FR: VD_GERICHTE JS16.000684 du 28 juin 2016</w:t>
      </w:r>
    </w:p>
    <w:p>
      <w:r>
        <w:t>IT: VD_GERICHTE JS16.000684 del 28 giugno 2016</w:t>
      </w:r>
    </w:p>
    <w:p>
      <w:pPr>
        <w:pStyle w:val="Heading2"/>
      </w:pPr>
      <w:r>
        <w:t>Erwägungen</w:t>
      </w:r>
    </w:p>
    <w:p>
      <w:r>
        <w:rPr>
          <w:b/>
        </w:rPr>
        <w:t>E. 3.1</w:t>
      </w:r>
    </w:p>
    <w:p>
      <w:r>
        <w:t>L’appelant soutient tout d’abord que les conditions de l’art. 179 al. 1 CC (code civil suisse du 10 décembre 1907 ; RS 210) seraient remplies. S’agissant de la contribution d’entretien, il fait valoir que les pièces produites démontreraient que ses revenus avaient baissés en 2015, puisqu’ils s’élevaient désormais à 105'534 fr. 40 contre 137'160 fr. 95 en l’an 2014 et 167'845 lors de son premier exercice en 2013 et qu’il se trouverait devoir faire face à un rattrapage d’impôts de l’année 2015 qui lui coûterait 5'000 fr. par mois. Quant à la garde alternée à laquelle il conclut, il relève qu’il dispose désormais d’un logement adéquat situé à proximité de l’école et offrant à chacun des enfants sa propre chambre.</w:t>
      </w:r>
    </w:p>
    <w:p>
      <w:r>
        <w:rPr>
          <w:b/>
        </w:rPr>
        <w:t>E. 3.2</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w:t>
      </w:r>
    </w:p>
    <w:p>
      <w:r>
        <w:t>- 7 -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Il appartient à celui qui demande la modification d’apporter la preuve de l’importance et du caractère durable des faits, notamment des</w:t>
      </w:r>
    </w:p>
    <w:p>
      <w:r>
        <w:t>- 8 -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w:t>
      </w:r>
    </w:p>
    <w:p>
      <w:r>
        <w:rPr>
          <w:b/>
        </w:rPr>
        <w:t>E. 3.3</w:t>
      </w:r>
    </w:p>
    <w:p>
      <w:r>
        <w:t>En l’espèce, les pièces 9 et 10 du bordereau produit par l’appelant ne permettent pas d'établir qu'il y a un rattrapage d'impôt de 60'000 francs. Il s'agit des pièces standards que reçoit tout contribuable à la fin de l'année (relevé de compte et calcul des acomptes). En ce qui concerne son revenu, force est d’admettre que lorsqu'il a signé la convention le 30 mars 2015, l'appelant savait que l'année 2013 avait été exceptionnelle compte tenu de la grêle. On peut certes concéder une baisse des revenus entre 2014 et 2015 mais il n'est pas suffisant de s'en tenir à la comparaison de deux exercices comptables pour déduire que les revenus baissent de manière durable. Comme le relève pertinemment le premier juge, l'appelant gère le garage depuis de nombreuses années et la contribution d'entretien a fait l'objet d'âpres discussions. Il est impensable que la contribution d'entretien ne résulte que de l'exercice très favorable de 2013, ce d'autant plus que l'on ignore sur la base de quels revenus la contribution d'entretien a été fixée. Finalement, il n’apparaît pas que le fait de disposer d’un logement plus grand constitue une modification essentielle des circonstances en l’espèce, compte tenu du fait que la convention a été conclue il y a une année seulement et que l’appelant dispose d’un droit de</w:t>
      </w:r>
    </w:p>
    <w:p>
      <w:r>
        <w:t>- 9 - visite élargi qui n’est pas très éloigné d’un régime de garde alternée. Si cet élément avait réellement été le seul obstacle à la garde alternée, les parties auraient certainement prévu dans la convention la possibilité de modifier le régime au moment où l’appelant disposerait d’un logement plus adéquat. En tous les cas, rien ne permet de retenir, comme le prétend l’appelant dans sa requête, que les parties auraient renoncé à une garde alternée en raison de l’absence d’un logement adéquat de l’appelant.</w:t>
      </w:r>
    </w:p>
    <w:p>
      <w:r>
        <w:rPr>
          <w:b/>
        </w:rPr>
        <w:t>E. 3.4</w:t>
      </w:r>
    </w:p>
    <w:p>
      <w:r>
        <w:t>Ainsi, force est de constater que les circonstances de fait n’ont pas changé d’une manière essentielle, de sorte qu’il n’y avait pas lieu d’entrer en matière sur la requête.</w:t>
      </w:r>
    </w:p>
    <w:p>
      <w:r>
        <w:rPr>
          <w:b/>
        </w:rPr>
        <w:t>E. 4.1</w:t>
      </w:r>
    </w:p>
    <w:p>
      <w:r>
        <w:t>En ce qui concerne la garde alternée, même à considérer que les conditions de l’art. 179 al. 1 CC seraient remplies, le grief de l’appelant aurait été rejeté pour les motifs qui suivent.</w:t>
      </w:r>
    </w:p>
    <w:p>
      <w:r>
        <w:rPr>
          <w:b/>
        </w:rPr>
        <w:t>E. 4.2</w:t>
      </w:r>
    </w:p>
    <w:p>
      <w:r>
        <w:t>L’appelant soutient que la garde alternée aurait été envisagée au moment de la séparation mais pas concrétisée au motif qu’il ne disposait pas encore d’un logement adéquat, qu’il vivrait désormais dans un logement situé tout près de l’école et offrant une chambre à chacun des enfants, que les deux parents disposeraient de capacités éducatives équivalentes et que les enfants eux-mêmes souhaitaient une garde alternée. Il fait grief au premier juge de ne pas avoir mené d’instruction, notamment d’avoir renoncé à entendre les enfants. Il précise encore que l’intimée recourt à une étudiante pour les devoirs de ses enfants.</w:t>
      </w:r>
    </w:p>
    <w:p>
      <w:r>
        <w:rPr>
          <w:b/>
        </w:rPr>
        <w:t>E. 4.3</w:t>
      </w:r>
    </w:p>
    <w:p>
      <w:r>
        <w:t>Aux termes de l'art. 176 al. 3 CC, relatif à l'organisation de la vie séparée, lorsque les époux ont des enfants mineurs, le juge des mesures protectrices ordonne les mesures nécessaires d'après les dispositions sur les effets de la filiation (cf. art. 273 ss CC). Selon l’art. 296 al. 2 CC, entré en vigueur le 1er juillet 2014, l’enfant est soumis, pendant sa minorité, à l’autorité parentale conjointe</w:t>
      </w:r>
    </w:p>
    <w:p>
      <w:r>
        <w:t>- 10 - de ses père et mère, qui inclut le droit de déterminer le lieu de résidence de l'enfant (art. 301a al. 1 CC). Pour le surplus, le titulaire du droit de garde est responsable de l'encadrement quotidien, des soins et de l'éducation de l'enfant (ATF 136 III 353 consid. 3.2, JdT 2010 l 491). Dans le cadre d’une procédure de divorce ou d’une procédure de protection de l’union conjugale, le juge confie à l’un des parents l’autorité parentale exclusive si le bien de l’enfant le commande (art. 298 al. 1 CC). Le Conseil fédéral a précisé que le projet s’abstenait d’imposer aux parents exerçant l’autorité parentale conjointe un modèle particulier de répartition des rôles et qu’un parent ne pouvait donc pas déduire du principe de l’autorité parentale conjointe le droit de pouvoir effectivement s’occuper de l’enfant pendant la moitié du temps. Ainsi, une garde alternée (ou partagée) ne serait décidée que s’il s’agissait de la meilleure solution pour le bien de l’enfant (FF 2011 8315, spéc. 8331 ; CACI 432/14 août 2014).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TF 5A_181/2008 du 25 avril 2008, FamPra.ch 4/2008 n. 104 p. 98 ; TF 5C.238/2005 du 2 novembre 2005, FamPra.ch 2006 n. 20 p. 193 ; CACI 432/14 août 2014). La garde alternée est la situation dans laquelle les parents exercent en commun l'autorité parentale, mais se partagent la</w:t>
      </w:r>
    </w:p>
    <w:p>
      <w:r>
        <w:t>- 11 - garde de l'enfant de manière alternée pour des périodes plus ou moins égales (TF 5A_69/2011 du 27 février 2012 consi. 2.1 et les réf.).</w:t>
      </w:r>
    </w:p>
    <w:p>
      <w:r>
        <w:rPr>
          <w:b/>
        </w:rPr>
        <w:t>E. 4.4</w:t>
      </w:r>
    </w:p>
    <w:p>
      <w:r>
        <w:t>Selon le régime de la convention en vigueur, les enfants passent deux soirées et deux nuits en semaine chez leur père. En présence d’une garde alternée, celui-ci devrait faire appel à une étudiante pour s’occuper des enfants jusqu’à son retour du travail compte tenu de ses horaires, alors que l’intimée, qui travaille à un taux de 30%, est disponible pour accueillir les enfants après l’école et faire le suivi des devoirs. Dans ces conditions, une garde alternée ne renforcerait que dans une mesure très restreinte les relations entre les enfants et leur père. On relève, à cet égard, que le fait, pour l’intimée, d’engager une étudiante pour dispenser un cours d’appui – pour autant que cela soit avéré – est plutôt louable et n’est pas comparable à la prise en charge totale des enfants par un tiers à leur sortie de l’école. Par ailleurs, peu de temps s’est écoulé depuis la convention conclue entre les parties et l’appelant n’apporte aucun élément concret qui laisserait penser que le régime actuel ne conviendrait pas aux enfants. On ne saurait ainsi reprocher au premier juge d’avoir renoncer à instruire ce point de manière approfondie, en refusant notamment d’ordonner l’audition des enfants. D’ailleurs, l’appelant a clairement exprimé que l’un des motifs de sa requête était de réduire la contribution d’entretien à sa charge, ce qui laisse penser qu’il agit avant tout dans son propre intérêt et non dans celui des enfants. Dans ces circonstances, une garde alternée n’apparaît pas être la solution la plus appropriée.</w:t>
      </w:r>
    </w:p>
    <w:p>
      <w:r>
        <w:rPr>
          <w:b/>
        </w:rPr>
        <w:t>E. 5</w:t>
      </w:r>
    </w:p>
    <w:p>
      <w:r>
        <w:t>S’agissant finalement du grief de l’appelant qui consiste à reprocher au premier juge de ne pas avoir imputé à l’intimée un revenu hypothétique supérieur dès le 1er janvier 2017, force est d’admettre, comme pour les griefs précédents, qu’il n’y a pas lieu d’entrer en matière en l’absence de faits nouveaux au sens de l’art. 179 al. 1 CC. Cette question est de toute manière prématurée vu la date à laquelle la</w:t>
      </w:r>
    </w:p>
    <w:p>
      <w:r>
        <w:t>- 12 - convention a été conclue entre les parties et rien ne permet au demeurant de retenir que la contribution de 4'200 fr. n’a pas tenu compte d’une reprise plus importante du taux d’activité de l’intimée à moyenne échéance, puisque celle-ci avait initialement réclamé 6'000 francs.</w:t>
      </w:r>
    </w:p>
    <w:p>
      <w:r>
        <w:rPr>
          <w:b/>
        </w:rPr>
        <w:t>E. 6</w:t>
      </w:r>
    </w:p>
    <w:p>
      <w:r>
        <w:t>Au vu de ce qui précède, l’appel est infondé et doit être rejeté en vertu de l’art. 312 al. 1 CPC. Les frais judiciaires de deuxième instance, fixés à 600 fr. (art. 65 al. 1 TFJC [tarif des frais judiciaires civils du 28 septembre 2010, RSV 270.11.5]), sont mis à la charge de l’appelant, qui succombe (art. 106 al. 1 CPC). Il n’y a pas lieu d’allouer des dépens, l’intimée n’ayant pas été invitée à se déterminer. Par ces motifs, le juge délégué de la Cour d’appel civile prononce : I. L’appel est rejeté. II. Le prononcé est confirmé. III. Les frais judiciaires de deuxième instance, arrêtés à 600 fr. (six cents francs), sont laissés à la charge de l’appelant A.X.________. IV. Il n’est pas alloué de dépens de deuxième instance. V. L’arrêt motivé est exécutoire.</w:t>
      </w:r>
    </w:p>
    <w:p>
      <w:r>
        <w:t>- 13 - Le juge délégué : La greffière : Du 29 juin 2016 Le dispositif du présent arrêt est communiqué par écrit aux intéressés. La greffière : Du Le présent arrêt, dont la rédaction a été approuvée à huis clos, est notifié en expédition complète à : - Me Martine Gardiol (pour A.X.________), - Me Thierry de Mestral (pour B.X.________),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