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JS15.041001 vom 27. April 2016</w:t>
      </w:r>
    </w:p>
    <w:p>
      <w:r>
        <w:t>VD Tribunal cantonal, 2016-04-27, FR</w:t>
      </w:r>
    </w:p>
    <w:p>
      <w:r>
        <w:rPr>
          <w:b/>
        </w:rPr>
        <w:t xml:space="preserve">Quelle: </w:t>
      </w:r>
      <w:r>
        <w:t>https://mcp.opencaselaw.ch/entscheid/vd_gerichte_JS15.041001</w:t>
      </w:r>
    </w:p>
    <w:p>
      <w:r>
        <w:t>FR: VD_GERICHTE JS15.041001 du 27 avril 2016</w:t>
      </w:r>
    </w:p>
    <w:p>
      <w:r>
        <w:t>IT: VD_GERICHTE JS15.041001 del 27 aprile 2016</w:t>
      </w:r>
    </w:p>
    <w:p>
      <w:pPr>
        <w:pStyle w:val="Heading2"/>
      </w:pPr>
      <w:r>
        <w:t>Erwägungen</w:t>
      </w:r>
    </w:p>
    <w:p>
      <w:r>
        <w:rPr>
          <w:b/>
        </w:rPr>
        <w:t>E. 3</w:t>
      </w:r>
    </w:p>
    <w:p>
      <w:r>
        <w:t>- 12 -</w:t>
      </w:r>
    </w:p>
    <w:p>
      <w:r>
        <w:rPr>
          <w:b/>
        </w:rPr>
        <w:t>E. 3.1</w:t>
      </w:r>
    </w:p>
    <w:p>
      <w:r>
        <w:t>L’appelant fait valoir qu’il faudrait imputer un revenu hypothétique à l’intimée, à un montant correspondant à la rente AI qu’elle percevait, avec indexation. Il soutient que l’intimée aurait cessé de manière fautive de se plier aux conditions d’octroi des prestations de l’AI en ne se présentant pas aux convocations, ce qui aurait entraîné la suppression de son droit à une rente et l’aurait privée d’un revenu potentiel.</w:t>
      </w:r>
    </w:p>
    <w:p>
      <w:r>
        <w:rPr>
          <w:b/>
        </w:rPr>
        <w:t>E. 3.2.1</w:t>
      </w:r>
    </w:p>
    <w:p>
      <w:r>
        <w:t>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Cette contribution se détermine en fonction des facultés économiques et des besoins respectifs des époux. Dans le cadre de mesures protectrices ou de mesures provisionnelles,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La cognition du juge est limitée à la simple vraisemblance des faits et à un examen sommaire du droit ;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w:t>
      </w:r>
    </w:p>
    <w:p>
      <w:r>
        <w:rPr>
          <w:b/>
        </w:rPr>
        <w:t>E. 3.2.2</w:t>
      </w:r>
    </w:p>
    <w:p>
      <w:r>
        <w:t>Le revenu déterminant pour la fixation de la contribution d'entretien est le revenu effectif ou effectivement réalisable, soit, s'agissant des revenus du travail, le revenu net, cotisations sociales</w:t>
      </w:r>
    </w:p>
    <w:p>
      <w:r>
        <w:t>- 13 - déduites. Le juge peut toutefois s'en écarter et retenir un revenu hypothétique supérieur, de même qu’il peut imputer un tel revenu au créancier d’entretien (TF 5A_838/2009 du 6 mai 2010, in : FamPra.ch 2010 n. 45 p. 669 ; TF 5P. 63/2006 du 3 mai 2006 consid. 3.2). Selon les circonstances, l’époux demandeur pourra être ainsi contraint d'exercer une activité lucrative ou d'augmenter son taux de travail (ATF 130 III 537 consid. 3.2 ; 128 III 65 consid. 4a). Le motif pour lequel le débirentier a renoncé à un revenu ou à un revenu supérieur est, dans la règle, sans importance. En effet, l'imputation d'un revenu hypothétique ne revêt pas un caractère pénal. Il s'agit d'inciter la personne à réaliser le revenu qu'elle est en mesure de se procurer et – cumulativement (ATF 137 III 118 consid. 2.3, JdT 2011 II 486) – dont on peut raisonnablement exiger d'elle qu'elle l'obtienne afin de remplir ses obligations (ATF 128 III 4 consid. 4a ; TF 5A_99/2011 du 26 septembre 2011 consid. 7.4.1 ; TF 5A_99/2011 du 26 septembre 2011 consid. 7.4.1, publié in : FamPra.ch 2012 228 ; TF 5A_290/2010 du 28 octobre 2010 consid. 3.1, publié in : SJ 2011 I 177). Le juge doit ainsi examiner successivement deux conditions. Il doit avant tout déterminer si l'on peut raisonnablement exiger d’une personne qu'elle exerce une activité lucrative ou augmente celle-ci, eu égard, notamment, à sa formation, à son âge et à son état de santé, étant précisé que quand la possibilité réelle d'obtenir un revenu supérieur n'existe pas, il faut en faire abstraction ; il s'agit d'une question de droit.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5A_256/2015 du 13 août 2015 consid. 3.2.2 ; TF 5A_748/2012 du 15 mai 2013 consid. 4.3.2.1 ; TF 5A_218/2012 du 29 juin 2012 consid. 3.3.3 in : FamPra.ch 2012 p. 1099 ; TF 5A_99/2011 du 26 septembre 2011 consid. 7.4.1). Le juge doit ensuite examiner si la personne a la possibilité effective d'exercer l'activité ainsi déterminée et quel revenu elle peut en obtenir, compte tenu des circonstances subjectives susmentionnées, ainsi que du marché du travail ; il s'agit là d'une question de fait (ATF 137 III 1118 consid. 3.1 et 3.2, JdT 2011 I 486 ; 128 III 4 consid. 4c/bb ; 126 III 10</w:t>
      </w:r>
    </w:p>
    <w:p>
      <w:r>
        <w:t>- 14 - consid. 2b ; TF 5A_20/2013 du 25 octobre 2013 consid. 3.1). S'il entend exiger de la personne qu'elle reprenne une activité lucrative, le juge doit lui accorder un délai d'adaptation approprié : celle-ci doit en effet avoir suffisamment de temps pour s'adapter à sa nouvelle situation, notamment lorsqu'elle doit trouver un emploi. Ce délai doit par ailleurs être fixé en fonction des circonstances concrètes du cas particulier (cf. ATF 129 III 417 consid. 2 ; 114 II 13 consid. 5 ; TF 5A_807/2011 du 16 avril 2012 consid. 6.3.1 ; TF 5A_743/2010 du 10 février 2011 consid. 4). Il n'est pas arbitraire de s'écarter de ces principes si une personne renonce volontairement à une partie de ses ressources et de lui imputer le revenu qu'elle gagnait précédemment, ce avec effet rétroactif au jour de la renonciation (TF 5A_333/2014 du 2 octobre 2014 consid. 3.1.3.2 et les réf. cit.). Une incapacité de travail durable, telle qu'attestée par le médecin traitant, peut, selon les circonstances, suffire à admettre que le débirentier ou le crédirentier ne puisse effectivement trouver un emploi ; elle peut être prise en compte indépendamment d'éventuels droits envers l'assurance-invalidité et le fait que l’intéressé n'ait pas formulé de demande de rente ne saurait à lui seul être déterminant et permettre de retenir un revenu hypothétique (TF 5A_836/2015 du 8 avril 2016 consid. 5.2 ; TF 5A_757/2013 du 14 juillet 2014 consid. 3.2 ; CACI 23 décembre 2013/637 et les réf. cit.).</w:t>
      </w:r>
    </w:p>
    <w:p>
      <w:r>
        <w:rPr>
          <w:b/>
        </w:rPr>
        <w:t>E. 3.3</w:t>
      </w:r>
    </w:p>
    <w:p>
      <w:r>
        <w:t>En l’espèce, la première condition de la prise en compte d’un revenu hypothétique – à savoir que l’on puisse raisonnablement exiger de l’intimée qu’elle augmente son activité lucrative – n’est manifestement pas réalisée. On ne saurait considérer que l’intimée, qui travaille actuellement à 30 % –, aurait renoncé volontairement à exercer une activité lucrative à un taux supérieur, respectivement qu’elle se serait placée, par sa faute, en incapacité de réaliser un gain supérieur. Quoi qu’en dise l’appelant, la rente AI de l’intimée n’a pas été supprimée en raison d’une éventuelle non-collaboration de celle-ci, mais du fait d’un durcissement des conditions d’octroi, imposées par la loi, qui a conduit</w:t>
      </w:r>
    </w:p>
    <w:p>
      <w:r>
        <w:t>- 15 - l’Office AI à revoir le taux d’incapacité précédemment retenu. Il faut également constater que les circonstances de l’espèce infirment toute prétendue négligence de la part de l’intimée s’agissant de sa capacité de travail. Il est en effet établi par plusieurs rapports médicaux qu’elle souffre de lourds problèmes de santé, lesquels lui imposent d’importantes limitations fonctionnelles dans toutes ses activités quotidiennes. L’intimée est notamment atteinte d’arthrose sévère avec discopathie, de fibromyalgie et d’un syndrome lombo-vertébral lui occasionnant des lombalgies chroniques et des lésions dégénératives. Elle a également des prothèses à chaque genou – totale pour le droit, partielle pour le gauche en l’état –, et présente, sur le plan psychique, un état anxio-dépressif qui nécessite un suivi psychiatrique actif au [...]. Toutes ces affections ont été constatées depuis plusieurs années par les différents médecins de l’intimée, sur la base d’examens cliniques et radiologiques qui ne laissent aucun doute sur son état de santé. Dans ces conditions, force est de considérer que l’incapacité de l’intimée à exercer une activité professionnelle résiduelle supérieure à 30 %, comme en atteste son médecin traitant, est à tout le moins vraisemblable, ce qui exclut en conséquence l’imputation d’un revenu hypothétique. Le fait que l’Office AI ait retenu que l’intimée disposait d’une capacité entière dans une activité adaptée ne change en rien ce constat, l’état de santé devant bien plutôt s'analyser indépendamment d'éventuels droits envers l'assurance- invalidité (cf. TF 5A_836/2015 du 8 avril 2016 précité consid. 5.2). Par surabondance, on relèvera que l’intimée est à six mois de l’âge légal de la retraite, de sorte qu’il n’est de toute manière pas raisonnable d'exiger d’elle qu'elle exerce une activité lucrative au-delà de ses 64 ans (cf. ATF 100 Ia 12 consid. 4d ; TF 5A_278/2008 du 24 juillet 2008 consid. 2) ou qu’elle augmente celle-ci d’ici à sa retraite, eu égard au délai d’adaptation. Mal fondé, le grief, confinant à la témérité, doit être rejeté.</w:t>
      </w:r>
    </w:p>
    <w:p>
      <w:r>
        <w:t>- 16 -</w:t>
      </w:r>
    </w:p>
    <w:p>
      <w:r>
        <w:rPr>
          <w:b/>
        </w:rPr>
        <w:t>E. 4</w:t>
      </w:r>
    </w:p>
    <w:p>
      <w:r>
        <w:t>Pour le reste, les revenus et charges des parties ne sont pas remis en cause en tant que tels. Il y a donc lieu de les confirmer, sous réserve des corrections effectuées d’office. Cela étant, nonobstant les chiffres retenus ici, il convient de souligner que la quotité de la contribution d’entretien n’est en rien modifiée, le juge étant en l’occurrence tenu, vu l’application de la maxime de disposition à l’objet du litige, par les conclusions des parties. Ainsi, quand bien même l’appelant présente désormais un disponible de 1'721 fr. (4'733 – 3'012) alors qu’il manque à l’intimée un montant de 1'001 fr. (1'906 – 2’907) par mois pour équilibrer son budget, de sorte qu’après couverture du déficit de l’épouse, il subsiste un disponible de 720 fr. à répartir entre les parties, il convient de se limiter aux conclusions formées par B.________, tendant à ce que la contribution d’entretien en sa faveur soit fixée à 1'300 francs. On précisera enfin que l’argument selon lequel l’intimée ne participerait plus à la tenue du ménage depuis des mois, ne faisant « ni la lessive, ni à manger » ne saurait justifier le refus ou la réduction de la contribution d’entretien, dans la mesure où, même lorsque l’on ne peut plus sérieusement compter sur la reprise de la vie commune, l’art. 163 CC demeure la cause de l’obligation d’entretien réciproque des époux en mesures protectrices de l'union conjugale (cf. ATF 137 III 385 consid. 3.1).</w:t>
      </w:r>
    </w:p>
    <w:p>
      <w:r>
        <w:rPr>
          <w:b/>
        </w:rPr>
        <w:t>E. 5</w:t>
      </w:r>
    </w:p>
    <w:p>
      <w:r>
        <w:t>minutes. Pour ce qui est des opérations intitulées « courrier à », il y a lieu de distinguer celles comptabilisées à 5 minutes, qui sont des mémos et, partant, ne peuvent pas être prises en compte à titre d’activité</w:t>
      </w:r>
    </w:p>
    <w:p>
      <w:r>
        <w:t>- 18 - déployée par l’avocat, s’agissant de pur travail de secrétariat (cf. CREC 11 mars 2016/89 et les réf. cit. ; Juge délégué CACI 18 août 2014/436 consid. 3 ; CACI 29 juillet 2014/235 consid. 6) d’avec les autres, dont le temps allégué varie entre 10 à 20 minutes : en particulier, s’agissant des courriers des 18 mars et 5 avril 2016 « au Tribunal cantonal », respectivement « au client », il sera retenu 10 minutes – et non 15 minutes – pour le premier et 15 minutes – et non 20 minutes – pour le second. Ensuite, il apparaît que la préparation en vue de l’audience a été comptabilisée à double, soit 90 minutes pour l’avocat stagiaire concernant la plaidoirie et 70 minutes pour l’avocate brevetée concernant l’audience ; dans la mesure où seul l’avocat-stagiaire a procédé lors de l’audience d’appel, il convient de s’en tenir aux 90 minutes précitées. On retranchera encore les 10 minutes retenues pour l’« attente audience » par l’avocat-stagiaire qui n’a pas attendu, de même que les 30 minutes pour les « vacations aller-retour », ces dernières faisant l’objet d’un forfait de 80 fr. (JdT 2013 III 3). Pour ce qui est des débours, le montant de 6 fr. 90 ne prête pas le flanc à la critique. Au final, il convient de retrancher 2 heures et 5 minutes sur les heures alléguées par l’avocate brevetée et 40 minutes sur celles de l’avocat-stagiaire. Compte tenu de ce qui précède, le montant alloué doit être arrêté en retenant 6 heures et 5 minutes de travail d'avocat breveté, au tarif horaire de 180 fr., soit 1'095 fr., ainsi que 2 heures et 10 minutes de travail d'avocat-stagiaire, au tarif horaire de 110 fr., soit 238 fr. 30 (cf. art. 2 al. 1 RAJ), avec une vacation à 80 fr., auxquelles s’ajoutent la TVA, par 113 fr. 05, et des débours, par 6 fr. 90, ce qui porte le montant total arrondi à 1'534 francs. Dans la mesure de l’art. 123 CPC, le bénéficiaire de l’assistance judiciaire est tenu au remboursement des frais judiciaires et de l’indemnité de son conseil d’office mis à la charge de l’Etat.</w:t>
      </w:r>
    </w:p>
    <w:p>
      <w:r>
        <w:rPr>
          <w:b/>
        </w:rPr>
        <w:t>E. 5.1</w:t>
      </w:r>
    </w:p>
    <w:p>
      <w:r>
        <w:t>En définitive, l’appel doit être rejeté et l’ordonnance du 8 mars 2016 confirmée.</w:t>
      </w:r>
    </w:p>
    <w:p>
      <w:r>
        <w:rPr>
          <w:b/>
        </w:rPr>
        <w:t>E. 5.2</w:t>
      </w:r>
    </w:p>
    <w:p>
      <w:r>
        <w:t>La requête d’assistance judiciaire formée par l’appelant E.________ le 18 mars 2016 est admise, les conditions fixées par l’art. 117 CPC étant réalisées. Le bénéfice de l’assistance judiciaire lui sera octroyé avec effet à cette date, dans la mesure d’une exonération des frais judiciaires et de la désignation d’un avocat d’office en la personne de Me Flore Primault, avocate à Lausanne. L’appelant sera par ailleurs astreint à</w:t>
      </w:r>
    </w:p>
    <w:p>
      <w:r>
        <w:t>- 17 - verser une franchise mensuelle de 50 fr. dès et y compris le 1er juin 2016 en mains du Service juridique et législatif du canton de Vaud en application de l’art. 123 CPC (art. 5 RAJ [règlement sur l’assistance judiciaire en matière civile du 7 décembre 2010 ; RSV 211.02.3]).</w:t>
      </w:r>
    </w:p>
    <w:p>
      <w:r>
        <w:rPr>
          <w:b/>
        </w:rPr>
        <w:t>E. 5.3</w:t>
      </w:r>
    </w:p>
    <w:p>
      <w:r>
        <w:t>Les frais judiciaires de deuxième instance, arrêtés à 600 fr. (art. 65 al. 2 TFJC [tarif des frais judiciaires civils du 28 septembre 2010 ; RSV 270.11.5]), pour l’appelant, qui succombe (art. 106 al. 1 CPC), seront provisoirement laissés à la charge de l’Etat (art. 122 al. 1 let. b CPC), dès lors que l’appelant est au bénéfice de l’assistance judiciaire.</w:t>
      </w:r>
    </w:p>
    <w:p>
      <w:r>
        <w:rPr>
          <w:b/>
        </w:rPr>
        <w:t>E. 5.4</w:t>
      </w:r>
    </w:p>
    <w:p>
      <w:r>
        <w:t>En sa qualité de conseil d'office de l'appelant, Me Flore Primault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Dans son relevé d'opérations du 28 avril 2016, l'avocate indique avoir consacré 11 heures au dossier, auxquelles s’ajoute la TVA, dont 8 heures et 10 minutes d’avocat breveté et 2 heures et 50 minutes d’avocat-stagiaire, et fait état de 6 fr. 90 de débours. Ce décompte ne peut être pris en compte tel quel, eu égard à la simplicité de la cause. Il apparaît à cet égard qu’un certain nombre d’opérations est surévalué ; tel est le cas du temps allégué pour les diverses opérations intitulées « prise de connaissance d’un courrier », qui n'impliquent qu'une lecture cursive et brève ne dépassant pas les quelques minutes pour un avocat correctement formé (Bohnet/Martenet, Droit de la profession d'avocat, Berne 2009, n. 2962 p. 1170 et la jurisprudence citée ad n. 873 ; CREC 3 septembre 2014/312), de sorte qu’elles ne sauraient excéder les</w:t>
      </w:r>
    </w:p>
    <w:p>
      <w:r>
        <w:rPr>
          <w:b/>
        </w:rPr>
        <w:t>E. 5.5</w:t>
      </w:r>
    </w:p>
    <w:p>
      <w:r>
        <w:t>Enfin, l'appelant E.________ doit verser à l’intimée B.________ la somme de 1'700 fr. à titre de dépens de deuxième instance, compte tenu de la nature et des caractéristiques de la cause (art. 106 al. 1 CPC ; art. 3</w:t>
      </w:r>
    </w:p>
    <w:p>
      <w:r>
        <w:t>- 19 - al. 2, 7 et 20 al. 2 TDC [tarif du 23 novembre 2010 des dépens en matière civile ; RSV 270.11.6]). Par ces motifs, la juge déléguée de la Cour d’appel civile prononce : I. L’appel est rejeté. II. L’ordonnance est confirmée. III. La requête d’assistance judiciaire de l’appelant E.________ est admise, Me Flore Primault étant désignée conseil d'office avec effet au 18 mars 2016 dans la procédure d'appel et l’appelant étant astreint à payer une franchise mensuelle de 50 fr. (cinquante francs), dès et y compris le 1er juin 2016, à verser auprès du Service juridique et législatif, case postale, à 1014 Lausanne. IV. Les frais judiciaires de deuxième instance, arrêtés à 600 fr. (six cents francs) pour l’appelant E.________, sont laissés à la charge de l’Etat. V. L'indemnité d'office de Me Flore Primault, conseil de l'appelant E.________ est arrêtée à 1'534 fr. (mille cinq cent trente-quatre francs), TVA et débours compris. VI. E.________, bénéficiaire de l'assistance judiciaire est, dans la mesure de l'art. 123 CPC, tenu au remboursement de l'indemnité à son conseil d'office et des frais judiciaires laissés à la charge de l'Etat.</w:t>
      </w:r>
    </w:p>
    <w:p>
      <w:r>
        <w:t>- 20 - VII. L’appelant E.________ doit verser à l’intimée B.________ la somme de 1'700 fr. (mille sept cents francs) à titre de dépens de deuxième instance. VIII. L’arrêt est exécutoire. La juge déléguée : La greffière : Du Le présent arrêt, dont la rédaction a été approuvée à huis clos, est notifié en expédition complète à : - Me Flore Primault, avocate (pour E.________), - Me Pierre-Yves Brandt, avocat (pour B.________),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- 21 -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