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JS15.040646 vom 18. Dezember 2015</w:t>
      </w:r>
    </w:p>
    <w:p>
      <w:r>
        <w:t>VD Tribunal cantonal, 2015-12-18, FR</w:t>
      </w:r>
    </w:p>
    <w:p>
      <w:r>
        <w:rPr>
          <w:b/>
        </w:rPr>
        <w:t xml:space="preserve">Quelle: </w:t>
      </w:r>
      <w:r>
        <w:t>https://mcp.opencaselaw.ch/entscheid/vd_gerichte_JS15.040646</w:t>
      </w:r>
    </w:p>
    <w:p>
      <w:r>
        <w:t>FR: VD_GERICHTE JS15.040646 du 18 décembre 2015</w:t>
      </w:r>
    </w:p>
    <w:p>
      <w:r>
        <w:t>IT: VD_GERICHTE JS15.040646 del 18 dicembre 2015</w:t>
      </w:r>
    </w:p>
    <w:p>
      <w:pPr>
        <w:pStyle w:val="Heading2"/>
      </w:pPr>
      <w:r>
        <w:t>Erwägungen</w:t>
      </w:r>
    </w:p>
    <w:p>
      <w:r>
        <w:rPr>
          <w:b/>
        </w:rPr>
        <w:t>E. 3</w:t>
      </w:r>
    </w:p>
    <w:p>
      <w:r>
        <w:t>L’appelant fait valoir qu’en raison de sa situation financière précaire, telle qu’il l’avait exposée en première instance, il n’est pas en mesure de servir la pension allouée à son épouse. ll ajoute encore, circonstance non exposée dans sa requête de première instance, qu’il est le père d’un autre enfant qu’il entretient en versant à la mère de celui-ci</w:t>
      </w:r>
    </w:p>
    <w:p>
      <w:r>
        <w:t>- 6 - un montant de 1’000 fr. par mois comprenant également en partie l’entretien de la mère et qui doit être pris en considération dans sa capacité contributive. A l’appui de ses affirmations, il a produit un lot de pièces.</w:t>
      </w:r>
    </w:p>
    <w:p>
      <w:r>
        <w:rPr>
          <w:b/>
        </w:rPr>
        <w:t>E. 3.1.1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JdT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JdT 2010 III 139), à tout le moins lorsque le juge de première instance a violé la maxime inquisitoire illimitée (JdT 2011 III 43 et références citées). Il n’est cependant pas insoutenable d’appliquer strictement l’art. 317 CPC dans tous les litiges auxquels s’applique la maxime inquisitoire, même concernant des contributions d’entretien dues à des enfants (TF 5A_342/2013 du 27 septembre 2013 c. 4.1.2). La maxime inquisitoire sociale instituée par l’art. 272 CPC ne contraint pas le juge à rechercher lui-même l’état de fait pertinent, mais seulement à un devoir accru de questionnement lors de l’audience et l’invitation à produire toutes les pièces nécessaires. La maxime inquisitoire sociale ne libère pas les parties d’indiquer au tribunal les éléments de fait pertinents et de lui soumettre toutes les preuves disponibles (ATF 125 II 231 consid. 4; ATF 130 II 102 consid. 2.2).</w:t>
      </w:r>
    </w:p>
    <w:p>
      <w:r>
        <w:t>- 7 -</w:t>
      </w:r>
    </w:p>
    <w:p>
      <w:r>
        <w:rPr>
          <w:b/>
        </w:rPr>
        <w:t>E. 3.1.2</w:t>
      </w:r>
    </w:p>
    <w:p>
      <w:r>
        <w:t>Une fois ordonnées, les mesures protectrices de l’union conjugale ne peuvent être modifiées par le juge des mesures provisionnelles qu’aux conditions de l’art. 179 CC (TF 5A_562/2013 du 24 octobre 2013 consid. 3.1; 5A_535/2013 du 22 octobre 2013 consid. 3.1). Le juge prononce les modifications commandées par les faits nouveaux et rapporte les mesures prises lorsque les causes qui les ont déterminées n’existent plus. La modification des mesures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requises dont la modification est sollicitée se sont révélés faux ou ne se sont par la suite pas réalisés comme prévus (TF 5A_131/2014 du 27 mai 2014 consid. 2.1; TF 5A_866/2013 du 16 avril 2014 consid. 3.1). En revanche, les parties ne peuvent pas invoquer, pour fonder leur requête en modification, une mauvaise appréciation des circonstances initiales, que le motif relève du droit ou de l’établissement des faits allégués sur la base des preuves déjà offertes (TF5A_511/2010 du</w:t>
      </w:r>
    </w:p>
    <w:p>
      <w:r>
        <w:rPr>
          <w:b/>
        </w:rPr>
        <w:t>E. 3.2</w:t>
      </w:r>
    </w:p>
    <w:p>
      <w:r>
        <w:t>En l’espèce, c’est à juste titre que le premier juge a considéré que le récent chômage de l’appelant ne constituait pas encore une circonstance suffisamment importante et durable au sens de l‘art. 179 CC pour conduire à la modification de la contribution d’entretien arrêtée par décision du 22 avril 2013, le seul fait que le montant des indemnités de chômage est un peu moins élevé que le dernier salaire n’étant à lui seul pas un critère suffisant. Par ailleurs, c’est en vain que l’appelant allègue pour la première fois l’existence d’un autre enfant dont il aurait la charge. En</w:t>
      </w:r>
    </w:p>
    <w:p>
      <w:r>
        <w:t>- 8 - vertu de son obligation de participer de manière complète à la procédure, il lui appartenait d'en faire état dans sa requête du 23 septembre 2015, la naissance de l`enfant étant intervenue, selon traduction du document d’état civil de la République du Kosovo, le 23 janvier 2014. De toute manière, l’appelant ne rend même pas vraisemblable qu’il verse effectivement un quelconque montant pour l’entretien de cet enfant. ll ne produit en effet aucun document bancaire ou financier démontrant qu’il aurait effectué des versements pour ce motif. La traduction de la déclaration devant notaire du 30 octobre 2015, produite à l’appui de son appel, fait certes état d’envois réguliers par la banque d’une partie des revenus, mais la seule production de cette déclaration n’a pas une valeur probante suffisante pour admettre que l'appelant aurait effectivement des charges supplémentaires qui devraient être prises en compte dans le cadre de la fixation de la contribution d’entretien.</w:t>
      </w:r>
    </w:p>
    <w:p>
      <w:r>
        <w:rPr>
          <w:b/>
        </w:rPr>
        <w:t>E. 3.3</w:t>
      </w:r>
    </w:p>
    <w:p>
      <w:r>
        <w:t>Pour le reste, la question de savoir si la situation actuelle de revenu de l’appelant est amenée à se prolonger, par exemple parce qu’il aurait poursuivi sérieusement mais en vain ses recherches d’emploi, devra éventuellement être examinée, le cas échéant, à l’occasion du jugement au fond.</w:t>
      </w:r>
    </w:p>
    <w:p>
      <w:r>
        <w:rPr>
          <w:b/>
        </w:rPr>
        <w:t>E. 4</w:t>
      </w:r>
    </w:p>
    <w:p>
      <w:r>
        <w:t>Il résulte de ce qui précède que l'appel doit être rejeté selon la procédure de l'art. 312 al. 1 CPC et l'ordonnance entreprise confirmée. Les frais de justice de deuxième instance, arrêtés à 600 fr. (art. 63 al. 1 TFJC [tarif des frais judiciaires civils du 28 septembre 2010; RSV 270.11.5]), sont mis à la charge de l'appelant, qui succombe (art. 106 al. 1 CPC). Il n’y a pas lieu à l’allocation de dépens de deuxième instance, l’intimée ayant déposé des déterminations spontanées, sans l’assistance d’un mandataire professionnel.</w:t>
      </w:r>
    </w:p>
    <w:p>
      <w:r>
        <w:t>- 9 - Par ces motifs, le juge délégué de la Cour d’appel civile du Tribunal cantonal, statuant en application de l'art. 312 al. 1 CPC, prononce : I. L’appel est rejeté. II. L’ordonnance est confirmée. III. Les frais judiciaires de deuxième instance, arrêtés à 600 fr. (six cents francs), sont mis à la charge de l’appelant C.________. IV. L’arrêt est exécutoire Le juge délégué : Le greffier : Du L'arrêt qui précède, dont la rédaction a été approuvée à huis clos, est notifié en expédition complète, par l'envoi de photocopies, à : - M. C.________, - Mme I.________. Le juge délégué de la Cour d’appel civile considère que la valeur litigieuse est supérieure à 30’000 francs. Le présent arrêt peut faire l'objet d'un recours en matière civile devant le Tribunal fédéral au sens des art. 72 ss LTF (loi du 17 juin</w:t>
      </w:r>
    </w:p>
    <w:p>
      <w:r>
        <w:t>- 10 - 2005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