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JS15.038101 vom 18. Dezember 2015</w:t>
      </w:r>
    </w:p>
    <w:p>
      <w:r>
        <w:t>VD Tribunal cantonal, 2015-12-18, FR</w:t>
      </w:r>
    </w:p>
    <w:p>
      <w:r>
        <w:rPr>
          <w:b/>
        </w:rPr>
        <w:t xml:space="preserve">Quelle: </w:t>
      </w:r>
      <w:r>
        <w:t>https://mcp.opencaselaw.ch/entscheid/vd_gerichte_JS15.038101</w:t>
      </w:r>
    </w:p>
    <w:p>
      <w:r>
        <w:t>FR: VD_GERICHTE JS15.038101 du 18 décembre 2015</w:t>
      </w:r>
    </w:p>
    <w:p>
      <w:r>
        <w:t>IT: VD_GERICHTE JS15.038101 del 18 dicembre 2015</w:t>
      </w:r>
    </w:p>
    <w:p>
      <w:pPr>
        <w:pStyle w:val="Heading2"/>
      </w:pPr>
      <w:r>
        <w:t>Erwägungen</w:t>
      </w:r>
    </w:p>
    <w:p>
      <w:r>
        <w:rPr>
          <w:b/>
        </w:rPr>
        <w:t>E. 3</w:t>
      </w:r>
    </w:p>
    <w:p>
      <w:r>
        <w:t>a) L’appelant reproche au premier juge d’avoir attribué le domicile conjugal à l’intimée. Il invoque son état de santé, en particulier la nécessité de soins à domicile et un régime alimentaire spécial, pour revendiquer l’attribution du domicile conjugal. b) Aux termes de l’art 176 al. 1 ch. 2 CC (Code civil suisse du 10 décembre 1907 ; RS 2010),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Ce faisant, il doit examiner à quel époux le domicile conjugal est le plus utile ("grösserer Nutzen"). Ce critère conduit à attribuer le logement à celui des époux qui en tirera objectivement le plus grand bénéfice, au vu de ses besoins concrets. A cet égard, il convient d’accorder une importance prépondérante à l'intérêt de l'enfant à pouvoir demeurer dans</w:t>
      </w:r>
    </w:p>
    <w:p>
      <w:r>
        <w:t>- 6 - l'environnement qui lui est familier (TF 5A_823/2014 du 3 février 2015 consid. 4.1.1, FamPra.ch. 2015 p. 403), d’autant plus que selon l'expérience générale de la vie, l'époux qui reste seul trouve plus rapidement à se loger, comme personne individuelle, que l'autre époux à qui la garde des enfants a été confiée. c) En l’espèce, le premier juge a relevé que tant l’appelant que l’intimée revendiquaient l’attribution du domicile conjugal et, après avoir pesé les différents intérêts en présence, est parvenu à la conclusion que l’intérêt de l’intimée et de l’enfant D.________ à continuer à résider dans le domicile conjugal l’emportait sur celui de l’appelant à demeurer dans l’appartement qu’il occupait depuis de nombreuses années. Ce faisant, le premier juge n’a pas ignoré l’état de santé de l’appelant, mais a mis cet élément en balance avec les intérêts de l’intimée, qui a trouvé du travail dans le même quartier et qui bénéficie de l’aide de voisines pour la garde de l’enfant commun, lorsqu’elle travaille. Cette solution est adéquate, notamment au regard de la jurisprudence citées ci-dessus, selon laquelle la stabilité de vie de l’enfant est un critère important. D’autre part, comme l’a relevé le premier juge, l’attachement de l’appelant à son logement peut être relativisé par la recherche d’un appartement plus grand durant la période précédant la séparation. Enfin, l’état de santé de l’appelant n’est en soin pas incompatible avec un déménagement, les soins à domicile pouvant sans autre être prodigués dans un autre logement Dès lors, le grief de l’appelant est mal fondé.</w:t>
      </w:r>
    </w:p>
    <w:p>
      <w:r>
        <w:rPr>
          <w:b/>
        </w:rPr>
        <w:t>E. 4</w:t>
      </w:r>
    </w:p>
    <w:p>
      <w:r>
        <w:t>Il découle des considérants qui précèdent que l’appel doit être rejeté selon le mode procédural de l’art. 312 al. 1 CPC et l’ordonnance entreprise confirmée. La cause de l’appelant étant dépourvue de toute chance de succès, sa demande d’assistance judiciaire doit être rejetée (art. 117 let. b CPC).</w:t>
      </w:r>
    </w:p>
    <w:p>
      <w:r>
        <w:t>- 7 - Les frais judiciaires de deuxième instance, arrêtés à 600 fr. (art. 65 al. 2 TFJC [tarif des frais judiciaires civils du 28 septembre 2010 ; RSV 270.11.5]), doivent être mis à la charge de l’appelant qui succombe (art. 106 al. 1 CPC) Il n’y a pas lieu d’allouer de dépens à intimée, dès lors qu’elle n’a pas été invitée à se déterminer. Par ces motifs, le juge délégué de la Cour d’appel civile du Tribunal cantonal, statuant en application de l'art. 312 al. 1 CPC, prononce : I. L’appel est rejeté. II. L’ordonnance est confirmée. III. La requête d’assistance judiciaire est rejetée. IV. Les frais judiciaires de deuxième instance, arrêtés à 600 fr. (six cents francs), sont mis à la charge de l’appelant U.________. V. L’arrêt est exécutoire Le juge délégué : Le greffier :</w:t>
      </w:r>
    </w:p>
    <w:p>
      <w:r>
        <w:t>- 8 - Du L'arrêt qui précède, dont la rédaction a été approuvée à huis clos, est notifié en expédition complète, par l'envoi de photocopies, à : - U.________, - Me Marie-Pomme Moinat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