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JS15.035958 vom 17. Dezember 2015</w:t>
      </w:r>
    </w:p>
    <w:p>
      <w:r>
        <w:t>VD Tribunal cantonal, 2015-12-17, FR</w:t>
      </w:r>
    </w:p>
    <w:p>
      <w:r>
        <w:rPr>
          <w:b/>
        </w:rPr>
        <w:t xml:space="preserve">Quelle: </w:t>
      </w:r>
      <w:r>
        <w:t>https://mcp.opencaselaw.ch/entscheid/vd_gerichte_JS15.035958</w:t>
      </w:r>
    </w:p>
    <w:p>
      <w:r>
        <w:t>FR: VD_GERICHTE JS15.035958 du 17 décembre 2015</w:t>
      </w:r>
    </w:p>
    <w:p>
      <w:r>
        <w:t>IT: VD_GERICHTE JS15.035958 del 17 dicembre 2015</w:t>
      </w:r>
    </w:p>
    <w:p>
      <w:pPr>
        <w:pStyle w:val="Heading2"/>
      </w:pPr>
      <w:r>
        <w:t>Erwägungen</w:t>
      </w:r>
    </w:p>
    <w:p>
      <w:r>
        <w:rPr>
          <w:b/>
        </w:rPr>
        <w:t>E. 1</w:t>
      </w:r>
    </w:p>
    <w:p>
      <w:r>
        <w:t>E.________, née [...] le [...] 1961, de nationalité française, et F.________, né le [...] 1963, se sont mariés le [...] 2014 à Prilly (VD). Les parties n'ont pas d'enfant commun. F.________ est le père d'un enfant issu d'une précédente union, [...], né le [...] 1990. Quant à E.________, elle est la mère d’une fille majeure en formation également issue d’une précédente union. F.________ est employé en qualité d’agent technique par [...], à Genève. Quant à E.________, elle travaille en qualité de maman de jour.</w:t>
      </w:r>
    </w:p>
    <w:p>
      <w:r>
        <w:rPr>
          <w:b/>
        </w:rPr>
        <w:t>E. 2</w:t>
      </w:r>
    </w:p>
    <w:p>
      <w:r>
        <w:t>Par ordonnance d'expulsion du 25 août 2015, rendue sur la base du formulaire d’expulsion immédiate du logement commun établi par la police le 15 août 2015 suite à leur intervention au domicile conjugal, la présidente a prononcé l'expulsion immédiate de F.________ du logement</w:t>
      </w:r>
    </w:p>
    <w:p>
      <w:r>
        <w:t>- 4 - commun (I) et lui a interdit de pénétrer dans celui-ci, sous la menace de la peine d'amende prévue par l'article 292 CP (II).</w:t>
      </w:r>
    </w:p>
    <w:p>
      <w:r>
        <w:rPr>
          <w:b/>
        </w:rPr>
        <w:t>E. 3</w:t>
      </w:r>
    </w:p>
    <w:p>
      <w:r>
        <w:t>Le 25 août 2015, E.________ a déposé une requête de mesures superprovisionnelles et de mesures protectrices de l'union conjugale. Elle a notamment conclu, par voie de mesures superprovisionnelles, à l’expulsion immédiate de son conjoint du domicile conjugal et au paiement d’une contribution d’entretien de 2'000 fr. par mois dès et y compris le mois d’août 2015 puis, par voie de mesures protectrices de l’union conjugale, au régulier versement, par F.________, d'une contribution d'entretien en sa faveur de 3'000 fr. par mois dès le 1er septembre 2015. Par ordonnance de mesures superprovisionnelles du même jour, la présidente a autorisé les parties à vivre séparées pour une durée indéterminée (I), attribué à E.________ la jouissance de l'appartement conjugal (II) et a interdit à F.________ d'approcher son épouse à moins de 25 mètres ou de lui causer quelque autre dérangement, sous la menace de la peine d'amende prévue par l'article 292 CP (III).</w:t>
      </w:r>
    </w:p>
    <w:p>
      <w:r>
        <w:rPr>
          <w:b/>
        </w:rPr>
        <w:t>E. 4</w:t>
      </w:r>
    </w:p>
    <w:p>
      <w:r>
        <w:t>Une audience de validation d'expulsion au sens de l’art. 28b CC (Code civil suisse du 10 décembre 1907 ; RS 210) et de mesures protectrices de l'union conjugale s'est tenue le 8 septembre 2015. F.________ s’y est présenté non assisté. A cette occasion, la conciliation a partiellement abouti comme suit : I. Les époux F.________ et E.________ conviennent de vivre séparés pour une durée indéterminée, étant précisé que la séparation effective est intervenue le 15 août 2015. II. La jouissance du domicile conjugal, sis [...], 1012 Lausanne, est attribuée à E.________, qui en assumera seule le loyer et les charges. F.________ restituera à E.________ la clé de la boîte à lettres à l'issue de cette audience. F.________ pourra récupérer ses effets personnels, le double de la clé de son véhicule, son bureau y compris le contenu de celui-ci, les classeurs le concernant, ses livres et ses affaires de bricolage,</w:t>
      </w:r>
    </w:p>
    <w:p>
      <w:r>
        <w:t>- 5 - moyennant préavis donné à Me Brechbühl au minimum cinq jours avant. III. F.________ s'engage à ne pas s'approcher à moins de 25 mètres d'E.________ et à ne plus causer aucun autre dérangement quel qu'il soit. IV. Pour le mois de septembre 2015, F.________ s'acquittera du paiement du loyer de l'appartement conjugal, de la prime d'assurance-maladie de son épouse ainsi que d'un montant de Fr. 500.- (cinq cents francs), à valoir sur la contribution d'entretien à fixer. La présidente a ratifié sur le siège cette convention partielle pour valoir ordonnance de mesures protectrices de l'union conjugale. Elle a en outre imparti à F.________ un délai au 15 septembre 2015 pour produire le jugement de divorce concernant son précédent mariage ainsi que la preuve du versement de la pension en faveur de son fils issu de la précédente union. Par courrier du 14 septembres 2015, E.________ a produit le jugement de divorce de F.________. Elle a par ailleurs modifié ses conclusions en ce sens qu’elle a conclu au versement d’une contribution d’entretien en sa faveur de 3'750 fr. par mois dès le 1er octobre 2015. Par courrier du 15 septembre 2015, F.________, désormais assisté d’un mandataire professionnel, a transmis le jugement de divorce – dont il ressort que la pension de 1'400 fr. en faveur de son fils était due jusqu’au 25 ans de celui-ci au plus tard, en cas d’études suivies et sérieuses –, un décompte bancaire du 9 septembre 2015 attestant d’un virement mensuel de 1'400 fr. pour les mois de mars à août 2015 à l’attention de son ex-épouse, de même que ses fiches de salaires pour les mois de juin, juillet et août 2015.</w:t>
      </w:r>
    </w:p>
    <w:p>
      <w:r>
        <w:rPr>
          <w:b/>
        </w:rPr>
        <w:t>E. 5</w:t>
      </w:r>
    </w:p>
    <w:p>
      <w:r>
        <w:t>L’appelant reproche également au premier juge de ne pas avoir tenu compte de frais de transport pour 400 fr. et de frais de repas pour 200 fr. dans la mesure où il utilisait son propre véhicule pour se rendre sur son lieu de travail, n’avait pas le temps de rentrer chez lui à midi et devait prendre ses repas à l’extérieur. A cet égard, le premier juge a retenu qu'ensuite de son expulsion du domicile conjugal le 15 août 2015, l'appelant vivait chez ses parents à Genève où il travaillait, de sorte qu'il n'y avait pas lieu de retenir des charges à ce titre. Le raisonnement du premier juge peut être confirmé, dès lors que l'appelant ne démontre pas, au degré de la vraisemblance, qu'il n'en serait pas ainsi depuis la séparation, soit que des frais de déplacement nécessaires pour se rendre à son travail devraient être retenus à ce titre. Au demeurant, les frais de places de parc ne font pas nécessairement partie des charges incompressibles (cf. TF 5P.423/2004 consid. 2.4).</w:t>
      </w:r>
    </w:p>
    <w:p>
      <w:r>
        <w:t>- 10 - Quant aux frais de repas, l'appelant ne démontre pas, au degré de la vraisemblance, qu'il aurait à assumer des frais de repas supplémentaires pris à l'extérieur qui ne seraient pas couverts, singulièrement au vu de ses fiches de salaire qui prévoient la prise en charge d'une telle indemnité par l'employeur (54 fr. en septembre 2015 ; 18 fr. en août ; 36 fr. en juillet et 36 fr. en juin, soit au total 144 fr. pour 4 mois).</w:t>
      </w:r>
    </w:p>
    <w:p>
      <w:r>
        <w:rPr>
          <w:b/>
        </w:rPr>
        <w:t>E. 6</w:t>
      </w:r>
    </w:p>
    <w:p>
      <w:r>
        <w:t>L’appelant conteste également le montant des charges retenues à son égard. Selon lui, la contribution d’entretien de 1'400 fr. en faveur de son fils majeur doit être prise en compte dans la mesure où elle est toujours due, qu’il la verse effectivement et que le revenu que son fils réalise par son stage rémunéré n’est pas connu. Il relève également qu’il n’a pas la possibilité de réduire, voire de supprimer unilatéralement la pension qu’il verse à celui-ci. L'appelant doit en principe verser une contribution alimentaire de 1'400 fr. à son fils jusqu'à ses 25 ans « au plus tard », soit jusqu'au 10 décembre 2015, date à laquelle celui-ci aura atteint cet âge. Le premier juge a retenu que le fils majeur de l’appelant effectuait un stage rémunéré et qu'il était ainsi financièrement autonome ; il n’a dès lors, à juste titre, pas tenu compte de cette contribution dans les charges de l'appelant. Celui-ci ne rend en effet pas vraisemblable que, nonobstant le stage rémunéré de son fils, il serait tenu, voire qu’il continuerait à payer ladite contribution durant la période déterminante pour le présent litige, soit du mois d’octobre jusqu’au 10 décembre 2015.</w:t>
      </w:r>
    </w:p>
    <w:p>
      <w:r>
        <w:rPr>
          <w:b/>
        </w:rPr>
        <w:t>E. 7</w:t>
      </w:r>
    </w:p>
    <w:p>
      <w:r>
        <w:t>L’appelant conteste également le revenu de l’intimée retenu par le premier juge qui s’élèverait à 1'400 fr. par mois au lieu de 1'000 fr., compte tenu des allocations familiales ou d’études touchées pour sa fille restée en France.</w:t>
      </w:r>
    </w:p>
    <w:p>
      <w:r>
        <w:t>- 11 - Outre qu'il s'agit là d'un fait nouveau qui n'a pas été allégué devant le premier juge et qui n'a pas non plus été rendu vraisemblable, il n'aurait de toute manière aucune incidence sur les revenus de l'intimée à prendre en considération. En effet, les allocations familiales ou de formation reviennent à l'enfant et non au parent qui les perçoit pour l'enfant. C’est ainsi qu'il n'a pas été non plus tenu compte, à juste titre, des allocations familiales de 400 fr. perçues par l'appelant, tel que cela ressort de ses fiches de salaire.</w:t>
      </w:r>
    </w:p>
    <w:p>
      <w:r>
        <w:rPr>
          <w:b/>
        </w:rPr>
        <w:t>E. 8</w:t>
      </w:r>
    </w:p>
    <w:p>
      <w:r>
        <w:t>L’appelant conteste encore le montant de l’assurance-maladie de l’intimée, qui s’élèverait à 195 fr. 70 au lieu du montant 210 fr. 80 pris en compte par le premier juge, celui-ci tenant compte à tort d’une assurance-accident prise en charge par son employeur. Dès lors que les pièces sur lesquelles se fondent l’appelant sont irrecevables (pièces 5 et 6 produites en appel), ce grief doit être rejeté. Cela étant, même si ces pièces étaient recevables, force est de constater que le montant de 195 fr. 70 ne s'écarte guère du montant de 210 fr. 80 retenu par le premier juge, qui s’est fondé sur la communication des primes 2015 (15 fr. de différence), de sorte que ce montant peut de toute manière être confirmé à ce stade. Quant au courriel de « Chèques- emploi », il n'est de toute manière pas propre à remettre en cause le montant retenu par le premier juge à titre d'assurance-maladie, dès lors que l’assurance-accident était effectivement supportée par l'intimée, comme l'admet du reste l'appelant.</w:t>
      </w:r>
    </w:p>
    <w:p>
      <w:r>
        <w:rPr>
          <w:b/>
        </w:rPr>
        <w:t>E. 9</w:t>
      </w:r>
    </w:p>
    <w:p>
      <w:r>
        <w:t>Compte tenu des éléments qui précèdent, les charges de l’appelant comprennent son minimum vital pour débiteur vivant seul par 1'200 fr., un loyer mensuel hypothétique, charges comprises, par 1'200 fr. et sa prime d’assurance-maladie par 195 fr. 70. Avec un revenu qui s’élève à 7'019 fr. par mois, il dispose d’un disponible mensuel de 4'423 fr. 30. Quant à l’intimée, ses charges comprennent son minimum vital pour débiteur vivant seul par 1'200 fr., son loyer mensuel, charges comprises,</w:t>
      </w:r>
    </w:p>
    <w:p>
      <w:r>
        <w:t>- 12 - par 1’193 fr., sa prime d’assurance-maladie par 195 fr. 70 et ses frais de transport par 72 francs. Avec un revenu qui s’élève à 1'000 fr. par mois, elle doit faire face à un déficit de 1'675 fr. 80. Le budget global des parties laisse ainsi apparaître un excédent de 2'747 fr. 50 (4'423 fr. 30 – 1'675 fr. 80). En appliquant la méthode du minimum vital avec répartition de l’excédent, qui n’est pas contestée par l’appelant, la contribution mensuelle due par celui-ci doit ainsi être fixée à 3'050 fr. (1'675 fr. 80 + [2'747 fr. 50 : 2] ; montant arrondi).</w:t>
      </w:r>
    </w:p>
    <w:p>
      <w:r>
        <w:rPr>
          <w:b/>
        </w:rPr>
        <w:t>E. 10</w:t>
      </w:r>
    </w:p>
    <w:p>
      <w:r>
        <w:t>a) En conclusion, l’appel est partiellement admis et le chiffre II de l’ordonnance attaquée est réformé en ce sens que la contribution mise à la charge de l’appelant en faveur de l'intimée est fixée à 3'050 francs. b) Vu le sort de la cause, les frais judiciaires de deuxième instance, arrêtés à 600 fr. (art. 65 al. 2 TFJC [tarif des frais judiciaires civils du 28 septembre 2010, RSV 270.11.5]), seront répartis à raison de 540 fr. pour l'appelant et à raison de 60 fr. pour l'intimée (art. 106 al. 2 CPC). Dès lors que l’assistance judiciaire a été accordée aux deux parties, ils seront toutefois laissés provisoirement à la charge de l'Etat. c) L’appelant versera à l’intimée des dépens réduits d’un montant de 1'350 fr., l’assistance judiciaire ne dispensant pas du versement des dépens à la partie adverse (art. 118 al. 3 CPC). Le conseil d’office de l’intimée pourra toutefois être rémunéré équitablement par l’Etat si ce montant ne peut être obtenu de la partie adverse (art. 122 al. 2 CPC), de sorte qu’il y a lieu de fixer son indemnité de conseil d’office. Il ressort de sa liste des opérations produite le 14 décembre 2015 qu’il a consacré 328 minutes à la cause. Compte tenu du tarif horaire de 180 fr. hors TVA (art. 2 al. 1 let. a et b RAJ [Règlement sur l'assistance judiciaire en matière civile, RSV 211.02.3]), l’indemnité d’office de Me Brechbühl doit être fixée à 984 fr. (5,4666 x 180 fr.), plus</w:t>
      </w:r>
    </w:p>
    <w:p>
      <w:r>
        <w:t>- 13 - 49 fr. 20 de débours et 82 fr. 65 de TVA à 8% sur le tout, soit au total à 1'115 fr. 80 (montant arrondi). d) Le 16 décembre 2015, le conseil d’office de l'appelant a déposé une liste des opérations, dont il ressort qu’il a consacré 9 heures et 18 minutes à la cause, ce qui apparaît excessif, compte tenu de certaines opérations comme les téléphones et mémos quotidiens qui n’étaient pas nécessaires au vu de la simplicité de la cause, le courrier de demande de prolongation de délai pour présenter la liste des opérations et les allégués complémentaires déposés simultanément à ladite liste. Il en est de même s’agissant des opérations qui ne concernent pas la présente procédure (procédure pénale), de sorte que le temps consacré à cette cause sera réduit à 6,43 heures. Compte tenu du tarif horaire de 180 fr. hors TVA (art. 2 al. 1 let. a et b RAJ), l’indemnité d’office de Me Kvicinsky doit être fixée à 1’158 fr. (6,43 x 180 fr. ; montant arrondi), plus 92 fr. 65 de TVA (8%), soit au total à 1'250 fr. 65. e) Dans la mesure de l’art. 123 CPC, les bénéficiaires de l’assistance judiciaire sont tenus au remboursement des frais judiciaires et de l’indemnité à leur conseil d’office mis à la charge de l’Etat. Par ces motifs, la juge déléguée de la Cour d’appel civile du Tribunal cantonal, prononce : I. L'appel est partiellement admis. II. L'ordonnance est réformée comme suit à son ch. II: dit que F.________ contribuera à l'entretien d'E.________, par le versement en ses mains, d'avance le premier de chaque mois, d'un montant de 3'050 fr. (trois mille cinquante francs) dès et y compris le 1er octobre 2015.</w:t>
      </w:r>
    </w:p>
    <w:p>
      <w:r>
        <w:t>- 14 - L'ordonnance est confirmée pour le surplus. III. Les frais judiciaires de deuxième instance, arrêtés à 600 fr. (six cents francs) et mis par 540 fr. (cinq cent quarante francs) à la charge de l'appelant F.________ et par 60 fr. (soixante francs) à la charge de l'intimée E.________, sont laissés à la charge de l'Etat. IV. L'indemnité de Me Didier Kvicinsky, conseil d’office de l'appelant F.________ est arrêtée à 1'250 fr. 65 (mille deux cent cinquante francs et soixante-cinq centimes), débours et TVA compris. V. L'indemnité de Me Martin Brechbühl, conseil d'office de l'intimée E.________, est arrêtée à 1'115 fr. 80 (mille cent quinze francs et huitante centimes), débours et TVA compris. VI. Les bénéficiaires de l'assistance judiciaire sont tenus, dans la mesure de l'art. 123 CPC, de rembourser les frais et indemnités de leurs conseils d'office, mis à la charge de l'Etat. VII. L'appelant doit verser à l'intimée la somme de 1'350 fr. (mille trois cent cinquante francs) à titre de dépens de deuxième instance. VIII. L'arrêt motivé est exécutoire. La juge déléguée : La greffière :</w:t>
      </w:r>
    </w:p>
    <w:p>
      <w:r>
        <w:t>- 15 - Du 17 décembre 2016 Le dispositif de l'arrêt qui précède est communiqué par écrit aux intéressés. La greffière : Du L'arrêt qui précède, dont la rédaction a été approuvée à huis clos, est notifié en expédition complète, par l'envoi de photocopies à : - Me Kvicinsky (pour F.________), - Me Brechbühl (pour E.________).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