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JS15.020810 vom 23. Juli 2015</w:t>
      </w:r>
    </w:p>
    <w:p>
      <w:r>
        <w:t>VD Tribunal cantonal, 2015-07-23, FR</w:t>
      </w:r>
    </w:p>
    <w:p>
      <w:r>
        <w:rPr>
          <w:b/>
        </w:rPr>
        <w:t xml:space="preserve">Quelle: </w:t>
      </w:r>
      <w:r>
        <w:t>https://mcp.opencaselaw.ch/entscheid/vd_gerichte_JS15.020810</w:t>
      </w:r>
    </w:p>
    <w:p>
      <w:r>
        <w:t>FR: VD_GERICHTE JS15.020810 du 23 juillet 2015</w:t>
      </w:r>
    </w:p>
    <w:p>
      <w:r>
        <w:t>IT: VD_GERICHTE JS15.020810 del 23 luglio 2015</w:t>
      </w:r>
    </w:p>
    <w:p>
      <w:pPr>
        <w:pStyle w:val="Heading2"/>
      </w:pPr>
      <w:r>
        <w:t>Erwägungen</w:t>
      </w:r>
    </w:p>
    <w:p>
      <w:r>
        <w:rPr>
          <w:b/>
        </w:rPr>
        <w:t>E. 9</w:t>
      </w:r>
    </w:p>
    <w:p>
      <w:r>
        <w:t>décembre 2014. Les pièces 2, 3, 4, 6 et 7, datées certes postérieurement à l’audience du 19 juin 2015, concernent toutefois un complexe de faits préexistant à celle-ci (demande AI du 13 juin 2013, revenus de l’épouse perçus en avril 2015, certificat médical attestant de problèmes de santé dont l’appelant souffre depuis plusieurs années, prestations complémentaires pour familles que l’appelant perçoit depuis juin 2014), de sorte qu’elles sont irrecevables. Les pièces 5, 8 et 9 étant toutes datées antérieurement à l’audience de jugement, elles sont irrecevables dès lors qu’elles auraient pu être produites dans le cadre de la procédure de première instance. Cela étant, même si les pièces produites en appel étaient recevables, elles ne seraient pas de nature à modifier l’issue du litige (cf. c. 3.2 infra). 3. L’appelant sollicite que la jouissance du domicile conjugal lui soit attribuée et invoque à cet égard des problèmes de santé. 3.1 Selon l'art. 176 al. 1 ch. 2 CC, à la requête de l'un des conjoints et si la suspension de la vie commune est fondée, le juge prend les mesures en ce qui concerne le logement et le mobilier de ménage.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(TF 5A_557/2013 du 23 décembre 2013 c. 4.1; TF 5A_132/2013 du 24 mai 2013 c. 4.2.1 et les références citées).</w:t>
      </w:r>
    </w:p>
    <w:p>
      <w:r>
        <w:t>- 11 - En premier lieu, le juge doit examiner à quel époux le domicile conjugal est le plus utile («grösserer Nutzen»), indépendamment des droits résultant de la propriété, de la liquidation des biens ou des relations contractuelles (TF 5A_557/2013 du 23 décembre 2013 c. 4.1; ATF 120 II 1 c. 2d). Ce critère conduit à attribuer le logement à celui des époux qui en tirera objectivement le plus grand bénéfice, compte tenu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(TF 5A_930/2012 du 16 mai 2013 c. 3.3.1; Juge délégué CACI 4 mai 2015/218 c. 3b).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5A_823/2014 du 3 février 2015 c. 4.1.1; TF 5A_298/2014 du 24 juillet 2014 c. 3.3.2; TF 5A_291/2013 du 27 janvier 2014 c. 5.4).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w:t>
      </w:r>
    </w:p>
    <w:p>
      <w:r>
        <w:t>- 12 -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5A_298/2014 du 24 juillet 2014 c. 3.3.2). Si ce second critère ne donne pas non plus de résultat clair, le juge doit alors tenir compte du statut juridique de l'immeuble et l'attribuer à celui des époux qui en est le propriétaire ou qui bénéficie d'autres droits d'usage sur celui-ci (TF 5A_823/2014 du 3 février 2015 c. 4.1.3 et les références citées). En principe, le délai pour quitter le domicile conjugal devrait être d’une à quatre semaines pour permettre à l’époux concerné de déménager (Chaix, Commentaire romand, Code civil I, n. 13 ad art. 176 CC; Hausherr/Reusser/Geiser, Berner Kommentar, n. 29 ad art. 176 CC; Vetterli, FamKomm. Scheidung, 2e éd., n. 18 ad art. 176 CC; Juge délégué CACI 27 mars 2015/154 c. 2b). 3.2 En l’espèce, le premier juge a retenu que l’intérêt de l’enfant [...] dont l’appelante a la garde devait être placé au premier plan et justifiait que l’appartement soit attribué à l’intimée, afin qu’elle puisse demeurer dans un endroit stable, situé dans un quartier où l’enfant avait vécu depuis son plus jeune âge. 3.3. Le raisonnement tenu par le premier juge ne prête pas le flanc à la critique et doit être confirmé. En effet, contrairement à ce que soutient l’appelant, le magistrat précédent a évoqué les problèmes de santé dont l’appelant a fait part lors de l’audience du 19 juin 2015. Cependant, le premier juge a considéré à juste titre que l’état de santé de l’appelant ne pouvait être pris en considération dans une mise en balance des intérêts de chacune des parties, dès lors que celui-ci n’avait pas été en mesure d’étayer ses déclarations au moyen de pièces. En l’occurrence, force est de constater, avec le premier juge, qu’aucun élément au dossier</w:t>
      </w:r>
    </w:p>
    <w:p>
      <w:r>
        <w:t>- 13 - ne permet de conclure que l’état de santé de l’appelant ne lui permettrait pas de déménager. Du reste, à supposer que les pièces nouvelles soient recevables, elles ne conduiraient pas à une appréciation différente, dans la mesure où elles indiquent uniquement que l’appelant souffre de certaines pathologies, sans toutefois démontrer qu’un déménagement serait inenvisageable en raison de ses problèmes de santé. Partant, le grief invoqué doit être rejeté. 4. Un délai de quinze jours avait été accordé à l’appelant pour quitter le domicile conjugal. Il n’y a pas lieu de revenir sur la durée de ce délai, qui correspond à l’avis de la doctrine (cf. c. 3.1 supra) et qui n’a du reste pas été contestée en appel. 5. L’appelant sollicite par ailleurs que l’intimée lui verse une pension de 1'000 fr. par mois. Il se réfère en particulier à un courrier qu’il a adressé à la Présidente le 26 juin 2015, par lequel il a requis une telle contribution. La Présidente n’a toutefois pas tranché cette question dans l’ordonnance querellée, à juste titre, dès lors que les débats étaient clos, l’audience de première instance ayant eu lieu le 19 juin 2015 et le courrier sur lequel s’appuie l’appelant datant du 26 juin 2015. Il s’agit donc d’une conclusion nouvelle en appel. La prise de conclusions nouvelles en appel doit être admise restrictivement, car elle porte atteinte au principe du double degré de juridiction. La loi pose deux conditions cumulatives à leur recevabilité. Ainsi, la prétention nouvelle ou modifiée doit non seulement relever de la procédure applicable en appel mais encore – sauf renonciation de la partie adverse à cette autre condition – présenter un lien de connexité avec</w:t>
      </w:r>
    </w:p>
    <w:p>
      <w:r>
        <w:t>- 14 - l’objet de l’appel. Par ailleurs, les conclusions nouvelles ne sont recevables que dans la mesure où elles reposent sur des faits et moyens de preuve nouveaux, lesquels doivent bien évidemment être recevables en appel en application de l’art. 317 al. 1 CPC (Jeandin, CPC commenté, Bâle 2011, nn.</w:t>
      </w:r>
    </w:p>
    <w:p>
      <w:r>
        <w:rPr>
          <w:b/>
        </w:rPr>
        <w:t>E. 10</w:t>
      </w:r>
    </w:p>
    <w:p>
      <w:r>
        <w:t>à 12 ad art. 317 CPC). En l’espèce, la conclusion nouvelle prise par l’appelant repose sur une pièce irrecevable en appel. Partant, cette conclusion l’est également. 6. Il résulte de ce qui précède que l’appel, manifestement infondé, doit être rejeté selon le mode procédural de l’art. 312 al. 1 CPC et l’ordonnance entreprise confirmée. Etant donné que l’appel était dépourvu de chances de succès (art. 117 let. b CPC), la requête d’assistance judiciaire doit être rejetée. Les frais judiciaires de deuxième instance, arrêtés à 600 fr. (art. 65 al. 2 TFJC [tarif des frais judiciaires civils du 28 septembre 2010 ; RSV 270.11.5]), seront mis à la charge de l’appelant qui succombe (art. 106 al. 1 CPC). L’intimée n’ayant pas été invitée à se déterminer sur l’appel, il n’y a pas lieu de lui octroyer des dépens de deuxième instance. Par ces motifs, la Juge déléguée de la Cour d’appel civile du Tribunal cantonal, statuant en application de l'art. 312 al. 1 CPC, prononce : I. L’appel est rejeté.</w:t>
      </w:r>
    </w:p>
    <w:p>
      <w:r>
        <w:t>- 15 - II. L’ordonnance est confirmée. III. La requête d’assistance judiciaire de l’appelant R.________ est rejetée. IV. Les frais judiciaires de deuxième instance, arrêtés à 600 fr. (six cents francs), sont mis à la charge de l’appelant R.________. V. L’arrêt est exécutoire. La juge déléguée : La greffière : Du L'arrêt qui précède, dont la rédaction a été approuvée à huis clos, est notifié en expédition complète, par l'envoi de photocopies, à : - Me Franck Tièche (pour R.________), - Me David Parisod (pour J.________).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