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JS15.017543 vom 11. November 2015</w:t>
      </w:r>
    </w:p>
    <w:p>
      <w:r>
        <w:t>VD Tribunal cantonal, 2015-11-11, FR</w:t>
      </w:r>
    </w:p>
    <w:p>
      <w:r>
        <w:rPr>
          <w:b/>
        </w:rPr>
        <w:t xml:space="preserve">Quelle: </w:t>
      </w:r>
      <w:r>
        <w:t>https://mcp.opencaselaw.ch/entscheid/vd_gerichte_JS15.017543</w:t>
      </w:r>
    </w:p>
    <w:p>
      <w:r>
        <w:t>FR: VD_GERICHTE JS15.017543 du 11 novembre 2015</w:t>
      </w:r>
    </w:p>
    <w:p>
      <w:r>
        <w:t>IT: VD_GERICHTE JS15.017543 del 11 novembre 2015</w:t>
      </w:r>
    </w:p>
    <w:p>
      <w:pPr>
        <w:pStyle w:val="Heading2"/>
      </w:pPr>
      <w:r>
        <w:t>Erwägungen</w:t>
      </w:r>
    </w:p>
    <w:p>
      <w:r>
        <w:rPr>
          <w:b/>
        </w:rPr>
        <w:t>E. 43</w:t>
      </w:r>
    </w:p>
    <w:p>
      <w:r>
        <w:t>et les références citées).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à tout le moins lorsque le juge de première instance a violé la maxime inquisitoire illimitée (JT 2011 III 43 et références citées). Il n’est cependant pas insoutenable d’appliquer strictement l’art. 317 CPC dans tous les litiges auxquels s’applique la maxime inquisitoire, même concernant des contributions envers les enfants (TF 5A_445/2014 du 28 août 2014 c. 2.2 ; TF 5A_342/2013 du 27 septembre 2013 c. 4.1.2 ; TF 5A_22/2014 du 13 mai 2014 c. 4.2).</w:t>
      </w:r>
    </w:p>
    <w:p>
      <w:r>
        <w:t>- 13 - 2.3 En l'espèce, dès lors que la cause porte sur le sort d’enfants mineurs, le litige est régi par la maxime inquisitoire illimitée de l'art. 296 CPC. Les pièces produites par les parties sont donc toutes recevables et ont été prises en compte dans la mesure de leur utilité. 3. 3.1 L’appelant fait grief au premier juge d’avoir prévu que son droit de visite sur ses trois enfants s’exercerait auprès du Point Rencontre. Il ressort de son appel qu’il souhaiterait en réalité bénéficier d’un libre et large droit de visite sur ses enfants C.________, P.________ et O.________. Il estime s’être toujours occupé de manière adéquate de ses enfants et s’être impliqué dans la vie de ces derniers. Il reproche à son épouse de ne pas l’informer des faits importants survenant dans la vie des enfants, de leur permettre d’assister à des conversations sexuelles qu’elle aurait avec des amants et d’envoyer de l’argent à des inconnus rencontrés sur le net. S’agissant des sms injurieux envoyés à son épouse, l’appelant indique qu’ils n’avaient pas vraiment pour but de l’insulter mais de « dénoncer ses mauvais comportements » et d’essayer de « la reprendre ». Enfin, l’appelant conteste la mesure de « curatelle » instaurée et indique qu’il n’y collaborera pas. Quant à l’intimée, elle rappelle que le droit de visite de l’appelant a été restreint au Point Rencontre pour deux motifs, soit le fait que son actuel logement ne paraît pas correspondre aux besoins d’enfants en bas âge et le fait que son état de santé actuel et son comportement général font craindre un débordement. Elle estime que les événements récents ne font qu’accentuer la crainte de débordement évoquée par le premier juge. Elle relève que depuis l’instauration de son droit de visite au Point Rencontre, l’appelant n’a pas souhaité rencontré ses enfants et a refusé de leur téléphoner. Elle souligne également qu’il a fait un tentamen en 2014, ce qui a impliqué son hospitalisation en clinique psychiatrique, et qu’il devait suivre un traitement à ce titre, qu’il a cessé de son propre chef. Ainsi, l’intimée considère qu’il faut maintenir le droit de visite de son époux au Point Rencontre.</w:t>
      </w:r>
    </w:p>
    <w:p>
      <w:r>
        <w:t>- 14 - 3.2 L'art. 273 al. 1 CC dispose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consid. 5.1.2; TF 5A_716/2010 du 23 février 2011 consid. 4 et les réf. cit., FamPra.ch 2011 p. 491; ATF 131 III 209 consid. 5; ATF 123 III 445 consid. 3b). Le droit aux relations personnelles vise à sauvegarder le lien existant entre parents et enfants (Hegnauer, Droit suisse de la filiation, 4e éd., Berne 1998, n. 19.20, p. 116). Le Tribunal fédéral relève à cet égard qu'il est unanimement reconnu que le rapport de l'enfant avec ses deux parents est essentiel et qu'il peut jouer un rôle décisif dans le processus de recherche d'identité de l'enfant (ATF 127 III 295 consid. 4a;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notamment compte de l'âge de l'enfant, de son état de santé, de ses loisirs, etc. La notion que l'enfant a du temps – selon son âge – est également importante : ainsi, de fréquentes rencontres de quelques heures peuvent être plus appropriées pour des enfants en bas âge que des week-ends entiers (Leuba, Commentaire romand, Bâle 2010, nn. 14s ad art. 273 CC). Des conditions particulières pour l'exercice du</w:t>
      </w:r>
    </w:p>
    <w:p>
      <w:r>
        <w:t>- 15 - droit de visite peuvent en outre être imposées (Hegnauer, op. cit., n. 19.16, p. 114).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consid. 3b; TF 5P_33/2001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TF 5A_663/2012 du 12 mars 2013 consid. 4.1 publié in FamPra.ch 2013 p. 806; TF 5A_172/2012 du 16 mai 2012 consid. 4.1.1, rés. in RMA 2012 p. 300). Conformément au principe de proportionnalité, il importe en outre que cette menace ne puisse être écartée par d'autres mesures appropriées (TF 5A_448/2008 du 2 octobre 2008; TF 5P_131/2006 du 25 août 2006 publié in FamPra.ch 2007 p. 167; ATF 131 III 209, JdT 2005 I 2002; ATF 118 II 21 consid. 3c, JdT 1995 I 548).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En revanche, si le risque engendré pour l’enfant par les</w:t>
      </w:r>
    </w:p>
    <w:p>
      <w:r>
        <w:t>- 16 -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 2008 du 23 décembre 2008, traduit et résumé in Revue du droit de la tutelle (RDT) 2/2009 p. 111). L’établissement d’un droit de visite surveillé nécessite des indices concrets de mise en danger du bien de l’enfant (TF 5P_131/2006 du 25 août 2006 précité;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 2 publié in FamPra.ch 2008 p. 173). 3.3 Le premier juge a retenu que les parties se trouvaient encore aujourd’hui dans un conflit de couple important, ayant des répercussions négatives sur les enfants. Si l’on ne pouvait pas imputer l’entière responsabilité de cette situation au seul appelant puisqu’il s’agissant bien du comportement adopté par le couple, soit par les deux parties, qui nuisait au bon développement des enfants, et non uniquement celui du père, il était établi que L.________ avait tenu des propos inappropriés envers la requérante, notamment en lui envoyant des SMS ou en lui laissant des messages téléphoniques insultants. Le premier juge a estimé qu’il y avait lieu de prendre en compte les craintes émises par l’intimée, notamment quant à l’état du logement de l’appelant, qui n’avait en l’état pas pu être vérifié, ainsi qu’en rapport avec l’état de santé et le comportement général de celui-ci. A ce sujet, il a relevé que L.________, qui avait été hospitalisé en milieu psychiatrique l’année dernière, avait déclaré à l’audience du 21 mai 2015 qu’il ne prenait plus sa médication, et à l’audience suivante qu’il n’était plus suivi par un psychiatre. En outre, la</w:t>
      </w:r>
    </w:p>
    <w:p>
      <w:r>
        <w:t>- 17 - teneur de ses SMS et de son discours global pouvaient à juste titre faire craindre un débordement dont des enfants, qui plus est en bas âge, n’avaient pas à subir les conséquences éventuelles, de sorte qu’il était justifié en l’état de fixer en faveur de l’intimé un droit de visite surveillé, par l’intermédiaire de Point Rencontre, à raison dans un premier temps de deux fois par mois, pour une durée de deux heures, à l’intérieur des locaux, un mandat d’évaluation de la situation des enfants C.________, P.________ et O.________ devant être confié au SPJ. 3.4 En l’espèce, il faut d’abord relever qu’il n’y a pas lieu de supprimer le mandat d’évaluation confié au SPJ. Au vu notamment de l’important conflit conjugal, de l’absence d’informations s’agissant des conditions de vie de l’appelant ainsi que des inquiétudes liées à son comportement, il est primordial, notamment en ce qui concerne les modalités d’exercice du droit de visite, qu’une évaluation détaillée de la situation des enfants soit faite. Il n’y a en outre pas lieu de s’écarter de la décision du premier juge de prévoir l’exercice du droit de visite de l’appelant sur ses enfants C.________, P.________ et O.________ dans les locaux du Point Rencontre. Le premier magistrat a relevé à juste titre qu’il y avait lieu de prendre en compte les craintes de l’intimée quant aux conditions de vie des enfants auprès de leur père. En effet, les allégations des parties à cet égard sont contradictoires. L’intimée prétend que son époux habiterait dans une vielle ferme avec trois autres hommes, dans des conditions de vie insalubres, des déchets et des bouteilles d’alcool jonchant le sol. Quant à l’appelant, il admet qu’il vit dans une ferme avec trois colocataires hommes, même s’il relève qu’il dispose d’une grande chambre de 23 mètres carrés qu’il occupe seul, qu’une chambre pourrait être aménagée pour les enfants et qu’il y a un grand jardin. Cette incertitude sur les conditions d’accueil des enfants au domicile de leur père commande d’attendre le résultat du mandat d’évaluation confié au SPJ, un droit de visite surveillé devant être maintenu jusqu’à cette échéance.</w:t>
      </w:r>
    </w:p>
    <w:p>
      <w:r>
        <w:t>- 18 - Au demeurant, on ne peut qu’adhérer à l’opinion du premier juge lorsque celui-ci évoque l’état de santé et le comportement de l’appelant pour justifier la restriction de son droit de visite. En effet, il a été à juste titre relevé que l’appelant, qui ne conteste pas avoir rencontré des problèmes psychiatriques dans le courant de l’année 2014, avait arrêté toute médication à cet égard et ne bénéficiait plus d’aucun suivi psychiatrique. Au début du mois d’octobre, l’appelant a également envoyé plusieurs SMS au contenu inquiétant à son épouse, alors même que la décision querellée lui a fait interdiction d’entrer en contact avec celle-ci et de l’importuner de quelque manière que ce soit. En outre, la teneur des différents courriers et écritures qu’il a produits devant le Juge délégué de céans, souvent absconse, est parfois confuse, voire même incohérente. On peut dès lors légitimement s’interroger sur la capacité de l’appelant à prendre en charge ses enfants de manière adéquate dans le cadre d’un droit de visite usuel, les éléments précités constituant à tout le moins des indices concrets selon lesquels le bien des enfants pourrait être mis en danger dans une telle hypothèse. Partant, il se justifie de maintenir l’exercice du droit de visite de l’appelant sur ses enfants C.________, P.________ et O.________ dans les locaux du Point Rencontre, étant précisé que le SPJ sera en mesure d’apprécier plus précisément la situation des enfants dans le cadre de son rapport d’évaluation. Enfin, on mentionnera que L.________, qui avait l’opportunité d’être entendu dans ses explications, n’a pas daigné se présenter à l’audience d’appel qui avait été fixée, alors même que c’est lui qui a interjeté appel contre le prononcé du 8 septembre 2015. En définitive, les griefs de l’appelant, mal fondés, doivent être rejetés. 4. 4.1 Au final, l’appel doit être rejeté et le prononcé entrepris confirmé.</w:t>
      </w:r>
    </w:p>
    <w:p>
      <w:r>
        <w:t>- 19 - 4.2 Les frais judiciaires de deuxième instance, arrêtés à 600 fr. (art. 65 al. 2 TFJC [tarif des frais judiciaires civils du 28 septembre 2010, RSV 270.11.5) pour l’appelant, qui succombe (art. 106 al. 1 CPC), sont laissés à la charge de l’Etat, L.________ étant au bénéfice de l'assistance judiciaire (122 al. 1 let. b CPC). Dans la mesure de l’art. 123 CPC, le bénéficiaire de l'assistance judiciaire est tenu au remboursement des frais judiciaires mis à la charge de l’Etat. 4.3 Compte tenu de l’issue de l’appel, L.________ versera à U.________ la somme de 2'600 fr. à titre de pleins dépens (art. 9 al. 2 TDC [tarif des dépens en matière civile du 23 novembre 2010, RSV 270.11.6]). Par ces motifs, le Juge délégué de la Cour d’appel civile du Tribunal cantonal, prononce : I. L’appel est rejeté. II. Le prononcé est confirmé. III. Les frais judiciaires de deuxième instance, arrêtés à 600 fr. (six cents francs) pour l’appelant L.________, sont laissés à la charge de l’Etat. IV. Le bénéficiaire de l'assistance judiciaire est, dans la mesure de l’art. 123 CPC, tenu au remboursement des frais judiciaires mis à la charge de l’Etat.</w:t>
      </w:r>
    </w:p>
    <w:p>
      <w:r>
        <w:t>- 20 - V. L’appelant L.________ doit verser à l’intimée U.________ la somme de 2'600 fr. (deux mille six cents francs) à titre de dépens de deuxième instance. VI. L’arrêt est exécutoire. Le juge délégué : La greffière : Du L'arrêt qui précède, dont la rédaction a été approuvée à huis clos, est notifié à : - M. L.________, - Me Ninon Pulver (pour U.________).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