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JS15.016210 vom 6. Oktober 2015</w:t>
      </w:r>
    </w:p>
    <w:p>
      <w:r>
        <w:t>VD Tribunal cantonal, 2015-10-06, FR</w:t>
      </w:r>
    </w:p>
    <w:p>
      <w:r>
        <w:rPr>
          <w:b/>
        </w:rPr>
        <w:t xml:space="preserve">Quelle: </w:t>
      </w:r>
      <w:r>
        <w:t>https://mcp.opencaselaw.ch/entscheid/vd_gerichte_JS15.016210</w:t>
      </w:r>
    </w:p>
    <w:p>
      <w:r>
        <w:t>FR: VD_GERICHTE JS15.016210 du 6 octobre 2015</w:t>
      </w:r>
    </w:p>
    <w:p>
      <w:r>
        <w:t>IT: VD_GERICHTE JS15.016210 del 6 ottobre 2015</w:t>
      </w:r>
    </w:p>
    <w:p>
      <w:pPr>
        <w:pStyle w:val="Heading2"/>
      </w:pPr>
      <w:r>
        <w:t>Erwägungen</w:t>
      </w:r>
    </w:p>
    <w:p>
      <w:r>
        <w:rPr>
          <w:b/>
        </w:rPr>
        <w:t>E. 3</w:t>
      </w:r>
    </w:p>
    <w:p>
      <w:r>
        <w:t>a) L’appelant soutient que la pension mensuelle due aux siens doit être arrêtée à un montant maximal de 2'000 fr., dès lors que son salaire mensuel net s’élève à 8'136 fr. 15 et non pas à 8'225 fr. 95, comme retenu par le premier juge, qu’il n’y aurait pas lieu de tenir compte de son treizième salaire, qui ne lui est versé qu’en fin d’année, que les primes d’assurance-maladie complémentaire de l’intimée ne doivent pas être prises en compte et qu’il conviendrait en revanche de comptabiliser sa charge fiscale, estimée à 1'200 francs. Il soutient en outre que, compte tenu de ses difficultés financières, il se justifierait de fixer la date d’échéance des pensions mensuelles au 10 de chaque mois. b/aa) Pour fixer la contribution d’entretien due au conjoint à titre de mesures protectrices de l’union conjugale selon l’art. 176 al. 1 ch. 1 CC (Code civil suisse du 10 décembre 1907 ; RS 210),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CC), le but de l’art. 163 CC, à savoir l’entretien convenable de la famille, impose à chacun des époux le devoir de participer, selon ses facultés, aux</w:t>
      </w:r>
    </w:p>
    <w:p>
      <w:r>
        <w:t>- 11 - frais supplémentaires qu’engendre la vie séparée. Il se peut donc que, à la suite de cet examen, le juge doive modifier la convention conclue pour la vie commune, puor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 ces critères ne signifie pas pour autant que le juge des mesures protectrices puisse trancher, même sous l’angle de la vraisemblance, les questions de fond, objet d’un éventuel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 TF 5A_591/2011 du 7 décembre 2011 c. 4.1.1 et réf. ; TF 5A_522/2011 du 18 janvier 2012 c. 4.1 ; TF 5A_973/2013 du 9 mai 2014 c. 6.3.3). Le principe du clean break ne joue par conséquent aucun rôle dans le cadre des mesures provisionnelles ou des mesures protectrices. De même, à lui seul, le fait que l’épouse dispose d’un disponible après couverture de son minimum vital n’est pas décisif non plus (TF 5A_228/2012 du 11 juin 2012 c. 4.3). De même encore, l’absence de perspectives de réconciliation ne justifie pas à elle seule la suppression de toute contribution d’entretien (TF 5A_304/2013 du 1er novembre 2013 c. 4.1, SJ 2014 I 245 ; TF 5A_445/2014 du 28 août 2014 c. 4.2).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 5.2.1 ; ATF 137 III 102 c. 4.2.1.1).</w:t>
      </w:r>
    </w:p>
    <w:p>
      <w:r>
        <w:t>- 12 -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TF 5A_515/2008 du 1er décembre 2008 c. 2.1; TF 5A_732/2007 du 4 avril 2008 c. 2.2; TF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 2.2.1; TF 5C.180/2002 du 20 décembre 2002 c. 5.2.2, in FamPra.ch 2003 pp. 428 ss, 430 et les citations). bb) Le revenu déterminant pour la fixation de la contribution d'entretien est le revenu effectif ou effectivement réalisable, soit s'agissant des revenus du travail, le revenu net, cotisations sociales déduites (de Luze/Page/Stoudmann, Droit de la famille, code annoté, n. 1.33 ad. art. 176 CC). 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(Chaix, Commentaire romand, CC I, 2010, n. 7 ad art. 176 CC). Le fait que le treizième salaire en soit versé qu’une fois par année ne place pas le travailleur dans une situation économique différente de celle de l’employé payé à la pièce ou de l’indépendant, dont les revenus sont variables : il se justifie dans ces cas de se fonder sur une moyenne des</w:t>
      </w:r>
    </w:p>
    <w:p>
      <w:r>
        <w:t>- 13 - revenus, arrêtée sur une période adéquate. Même en présence d’une situation financière précaire, l’incorporation de la part au treizième salaire au revenu est préférable à un rattrapage unique intervenant lors du versement effectif de cette rémunération. Il n’est pas arbitraire de procéder de la sorte même s’il en résulte que le minimum vital du débirentier s’en trouve entamé (de Luze/Page/Stoudmann, op. cit., n. 1.34 ad. art. 176 CC et les références citées). cc)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les frais de déplacement, s’ils sont indispensables à l’exercice de la profession, et selon les circonstances, les frais liés à l'exercice du droit de visite, les impôts et les dettes contractées d'entente pour l'entretien du ménage (Chaix, op. cit., n. 9 ad art. 176 CC et les références citées; Bastons Bulletti, L'entretien après divorce: méthodes de calcul, montant, durée et limites, SJ 2007 II 84-88). Sont comprises dans les charges les primes d'assurance- maladie obligatoire. En cas d'accord des parties, les assurances complémentaires peuvent être intégrées dans le budget des parties (Chaix, op. cit., n. 9 ad art. 176 CC; Juge délégué CACI 18 avril 2011/53). Tel est le cas également lorsque l'état de santé d'un époux est grave (Juge délégué CACI 4 mai 2011/65) ou encore lorsque la situation financière des parties est favorable (TF 5A_876/2014 du 3 juin 2015 c. 3.3). Sinon, les assurances non obligatoires ne sont pas prises en compte (ATF 134 III 323 c. 3). Une dette envers un tiers ne doit être examinée qu’avec retenue lors de l’établissement du minimum vital du débirentier, afin de sauvegarder les intérêts du crédirentier : à défaut, le débiteur pourrait en effet à ce point diminuer sa capacité contributive, en assumant de telles dettes, que celle-ci pourrait même ne plus suffire à couvrir le montant de</w:t>
      </w:r>
    </w:p>
    <w:p>
      <w:r>
        <w:t>- 14 - ses obligations d’entretien. Ainsi, pour autant que la situation financière des parties le permette, il peut être tenu compte d’une dette dans le calcul du minimum vital uniquement lorsqu’elle a été assumée aux fins de l’entretien des deux époux, mais non lorsqu’elle a été assumée au profit d’un seul d’entre eux, à moins que les deux époux n’en répondent solidairement (de Luze/Page/Stoudmann, op. cit., n. 1.72 ad. art. 176 CC et les références citées). Si les moyens des parties sont limités par rapport aux besoins vitaux, il n'y a pas lieu de prendre en considération les impôts courants, qui ne font pas partie des besoins vitaux (ATF 127 III 289 c. 2a/bb, 126 III 353 c. 1a/aa), ni les arriérés d'impôts (ATF 140 III 337 c. 4.4). Ce principe s'applique non seulement pour les contributions d'entretien dues dans le cadre de mesures protectrices de l'union conjugale (TF 5A_302/2011 du 30 septembre 2011 c. 6.3.1; TF 5A_511/2010 du 4 février 2011 c. 2.2.3), mais aussi pour les pensions dues pour l'entretien des enfants et du conjoint après divorce (TF 5A_332/2013 du 18 septembre 2013 c. 4.1 et les références citées). Il n'est pas arbitraire, même au regard de l'art. 296 al. 1 CPC, de renoncer à prendre en considération une charge fiscale de l'un des époux dans son budget, faute pour ce dernier d'avoir allégué le moindre élément à ce sujet (TF 5A_219/2014 du 26 juin 2014 c. 4.2.2 et 4.3).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(cf. ATF 121 III 20 c. 3a p. 22 et les arrêts cités), et non sur des dépenses hypothétiques dont on ne sait si elles existeront finalement – et à concurrence de quel montant – ni si elles seront en définitive assumées (TF 5A_751/2008 du 31 mars 2009 c. 3.1.).</w:t>
      </w:r>
    </w:p>
    <w:p>
      <w:r>
        <w:t>- 15 - dd) Concernant l’établissement des faits dans le cadre de mesures provisionnelles ou de mesures protectrices de l’union conjugale, le juge statue sur la base de la simple vraisemblance des faits après une administration limitée des preuves et un examen sommaire du droit (ATF 120 II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 c) En l’espèce, à la lecture des décomptes de salaire produits, à savoir ceux de janvier et d’avril 2015, il y a lieu de retenir que le revenu mensuel net de l’appelant s’élève à 8'136 fr. 15. En y additionnant la part au treizième salaire, dont il doit être tenu compte en dépit du fait qu’il n’est versé qu’en fin d’année, le revenu de l’appelant doit être arrêté à 8'814 fr .15 (8'136 fr. 15 x 13 / 12). Contrairement à ce qui a été retenu par le premier juge, il ne se justifie pas de tenir compte, au vu de la jurisprudence précitée, des primes relatives à l’assurance-maladie complémentaire (LCA) souscrite par l’intimée, dès lors que la prise en compte de ces frais ne fait pas l’objet d’un accord des parties et que ni l’état de santé ni la situation financière des parties ne justifie sa comptabilisation parmi les charges de l’intimée. C’est en revanche à raison que le premier juge n’a pas retenu les intérêts et l’amortissement du crédit contracté par l’appelant en vue du rachat des actions de la société [...]. Il n’est en effet pas établi que cette dette ait été assumée aux fins de l’entretien de la famille, ni que les deux époux en répondent solidairement. Par ailleurs, malgré ses allégations en ce sens, l’appelant, qui est employé d’une fiduciaire dont il est également l’administrateur unique, n’a pas produit, ni en première instance, ni en procédure d’appel, la moindre pièce attestant du fait que son budget personnel est grevé d’une</w:t>
      </w:r>
    </w:p>
    <w:p>
      <w:r>
        <w:t>- 16 - charge d’impôts, ni, le cas échéant, pour quel montant. En l’absence d’éléments relevants à ce sujet et à défaut d’avoir rendu vraisemblable l’existence d’une charge fiscale, il n’y a pas lieu, au stade des mesures protectrices de l’union conjugale, d’estimer une charge fiscale hypothétique et de la prendre en compte parmi les charges de l’appelant, étant encore précisé que le droit du débiteur à des garanties minimales d’existence ne peut être compromis par des contributions publiques. Il s’ensuit que la situation financière de l’appelant présente un disponible de 4'143 fr. 05, alors que celle de l’intimée fait état d’un déficit de 1'831 fr. 50. Après comblement du manco de l’intimée, il subsiste chez l’appelant un solde de 2’311 fr. 55 (4'143 fr. 05 – 1'831 fr. 50). Ce montant doit être réparti à raison de 67% pour l’intimée, qui vit avec les deux enfants du couple, dont l’une est majeure mais encore en formation, et de 33% pour l’appelant, qui vit seul. La pension due par l’appelant doit en conséquence être arrêtée à 3'380 fr. (1'831 fr. 50 + [67% x 2'311 fr. 55]). Dès lors que l’appelant n’a pas exposé en quoi ses prétendues difficultés financières l’empêcheraient de verser une pension d’avance le premier jour de chaque mois, sa conclusion tendant au report du versement au 10 de chaque mois doit être rejetée.</w:t>
      </w:r>
    </w:p>
    <w:p>
      <w:r>
        <w:rPr>
          <w:b/>
        </w:rPr>
        <w:t>E. 4</w:t>
      </w:r>
    </w:p>
    <w:p>
      <w:r>
        <w:t>En définitive, l’appel doit être partiellement admis. L’ordonnance entreprise doit être réformée au chiffre II de son dispositif en ce sens que l’appelant est astreint à contribuer à l’entretien de sa famille par le versement d’une pension mensuelle de 3'380 fr., allocations familiales en sus, payable d’avance le premier jour de chaque mois en mains de l’intimée, dès et y compris le 1er avril 2015, sous déduction des montants déjà versés à cette dernière depuis la séparation effective et jusqu’à ce jour.</w:t>
      </w:r>
    </w:p>
    <w:p>
      <w:r>
        <w:t>- 17 - Compte tenu de l’admission très partielle de l’appel, les frais judiciaires de deuxième instance, arrêtés à 600 fr. (art. 65 al. 2 TFJC [Tarif des frais judiciaires civils du 28 septembre 2010; RSV 270.11.5]), seront mis à la charge à raison de l’appelant à raison de 550 fr. et de 50 fr. pour l’intimée. L'appelant, qui succombe dans une très large mesure, versera à l'intimée un montant de 450 fr. à titre de dépens réduits de deuxième instance (art. 95 al. 3 CPC ; art. 7 al. 1 et 20 al. 2 TDC [tarif du 23 novembre 2010 des dépens en matière civile; RSV 270.11.6]). Par ces motifs, la Juge déléguée de la Cour d’appel civile du Tribunal cantonal prononce : I. L’appel est partiellement admis. II. L’ordonnance est réformée au chiffre II de son dispositif, comme suit : II. astreint l’intimé F.________ à contribuer à l’entretien de sa famille par le régulier versement d’une pension mensuelle de 3'380 fr. (trois mille trois cent huitante francs), allocations familiales en sus, payable d’avance le premier jour de chaque mois en mains de la requérante M.________, dès et y compris le 1er avril 2015, sous déduction des montants déjà versés à cette dernière depuis la séparation effective et jusqu’à ce jour. L’ordonnance est confirmée pour le surplus.</w:t>
      </w:r>
    </w:p>
    <w:p>
      <w:r>
        <w:t>- 18 - III. Les frais judiciaires de deuxième instance, arrêtés à 600 fr. (six cents francs), sont mis à la charge de l'appelant F.________ à raison de 550 fr. (cinq cent cinquante francs) et à la charge de l'intimée M.________, à raison de 50 fr. (cinquante francs). IV. L'appelant F.________ doit verser à l’intimée M.________, la somme de 450 fr. (quatre cent cinquante francs) à titre de dépens de deuxième instance. V. L’arrêt est exécutoire. La juge déléguée : Le greffier : Du L'arrêt qui précède, dont la rédaction a été approuvée à huis clos, est notifié à : - M. F.________ - Me Christine Marti (pour Mme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