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JS15.002508 vom 5. Dezember 2016</w:t>
      </w:r>
    </w:p>
    <w:p>
      <w:r>
        <w:t>VD Tribunal cantonal, 2016-12-05, FR</w:t>
      </w:r>
    </w:p>
    <w:p>
      <w:r>
        <w:rPr>
          <w:b/>
        </w:rPr>
        <w:t xml:space="preserve">Quelle: </w:t>
      </w:r>
      <w:r>
        <w:t>https://mcp.opencaselaw.ch/entscheid/vd_gerichte_JS15.002508</w:t>
      </w:r>
    </w:p>
    <w:p>
      <w:r>
        <w:t>FR: VD_GERICHTE JS15.002508 du 5 décembre 2016</w:t>
      </w:r>
    </w:p>
    <w:p>
      <w:r>
        <w:t>IT: VD_GERICHTE JS15.002508 del 5 dicembre 2016</w:t>
      </w:r>
    </w:p>
    <w:p>
      <w:pPr>
        <w:pStyle w:val="Heading2"/>
      </w:pPr>
      <w:r>
        <w:t>Erwägungen</w:t>
      </w:r>
    </w:p>
    <w:p>
      <w:r>
        <w:rPr>
          <w:b/>
        </w:rPr>
        <w:t>E. 2</w:t>
      </w:r>
    </w:p>
    <w:p>
      <w:r>
        <w:t>; TF 5A_720/2011 du 8 mars 2012 consid. 4.1.2 et les réf. citées ; TF 5A_811/2012 du 18 février 2013 consid.3.2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3.1.2 Aux termes de l’art. 177 CC, lorsqu’un époux ne satisfait pas à son devoir d’entretien, le juge peut prescrire aux débiteurs de cet époux d’opérer tout ou partie de leurs paiements entre les mains de son conjoint. L’avis aux débiteurs peut être prononcé lorsque le débiteur ne satisfait pas, à réitérées reprises, à son obligation d’entretien, soit qu’il ne</w:t>
      </w:r>
    </w:p>
    <w:p>
      <w:r>
        <w:t>- 13 - s’acquitte pas, ou seulement en partie, ou avec retard, des paiements qui lui incombent (De Luze / Page / Stoudmann, Droit de la famille, 2013, n.1.3 ad art. 291 CC). L'avis aux débiteurs constitue une mesure d'exécution forcée privilégiée sui generis, qui se trouve en lien étroit avec le droit civil et est de nature pécuniaire (ATF 137 III 193 consid. 1.1 ; ATF 130 III 89 consid. 1 ; ATF 110 II 9 consid. 1). Cette mesure a pour but d’assurer l’entretien courant, le crédirentier devant agir par la voie de la poursuite pour dettes s’agissant des arriérés, y compris ceux devenus exigibles dans l’année qui précède le dépôt de la requête (Hegnauer, Berner Kommentar, 1997, nn. 7 et 16 ad art. 291 CC ; ATF 137 III 193 consid. 3.6). En tant que mesure d’exécution, l’avis au débiteur constate le montant énoncé dans le titre d’entretien ; le juge n’examine donc ni l’état de fait ni les considérations de droit des mesures protectrices ou du divorce. 3.2 En l’occurrence, par arrêt sur appel du 7 juin 2016, devenu exécutoire, l’appelant a été astreint à contribuer à l’entretien des siens par le versement d’une contribution mensuelle d’un montant de 9'500 fr., allocations familiales en sus, dès le 1er juin 2015. Ce montant a été fixé sur la base d’un revenu mensuel moyen net de l’appelant de 19'155 fr. et d’un minimum vital de 8'883 fr. 50, et sur un minimum vital de l’intimée arrêté à 8'474 fr. 40. L’appelant n’allègue ni n’établit que les circonstances auraient changé de manière importante et durable depuis l’arrêt du</w:t>
      </w:r>
    </w:p>
    <w:p>
      <w:r>
        <w:rPr>
          <w:b/>
        </w:rPr>
        <w:t>E. 7</w:t>
      </w:r>
    </w:p>
    <w:p>
      <w:r>
        <w:t>juin 2016, tant s’agissant de ses revenus que du minimum vital de l’intimée. Dans ces circonstances, il n’y a pas lieu de s’écarter des montants retenus en juin 2016 à ce titre. C’est ainsi à raison que le premier juge a considéré qu’avec un revenu mensuel moyen net de 19'155 fr. et des charges incompressibles de 8'883 fr. 50, l’appelant disposait d’un montant de 10'271 fr. 50, de sorte qu’une contribution mensuelle d’entretien de 9'500 fr. n’entamait pas son minimum vital. Enfin, l’appelant ne conteste pas n’avoir jamais payé le supplément de 3'300 fr. (9'500 fr. - 6'200 fr.) dont il doit s’acquitter depuis l’arrêt sur</w:t>
      </w:r>
    </w:p>
    <w:p>
      <w:r>
        <w:t>- 14 - appel du 7 juin 2016. Il a par ailleurs expressément motivé son refus en expliquant qu’il n’avait pas les moyens de payer ce montant à l’intimée, ce qu’il a encore confirmé à l’audience d’appel. Dans ces circonstances, le premier juge était fondé à considérer que le comportement de l’appelant équivalait à un défaut caractérisé de paiement et qu’il était à craindre qu’un tel manquement se reproduise dans le futur, ce qui justifiait d’ordonner l’avis aux débiteurs. 4. En définitive, l'appel doit être rejeté et l'ordonnance attaquée confirmée. L’appel étant dépourvu de chance de succès, la requête d’assistance judiciaire déposée par T.________ doit être rejetée (art. 117 let. b CPC). Les frais judiciaires de deuxième instance, arrêtés à 600 fr. (art. 65 al. 2 TFJC [tarif des frais judiciaires civils du 28 septembre 2010; RSV 270.11.5]), seront mis à la charge de l’appelant, qui succombe (art. 106 al. 1 CPC). L’appelant doit en outre verser à l’intimée – qui a déposé de brèves déterminations sur l’effet suspensif et des conclusions en rejet de l’appel – des dépens de deuxième instance, qui peuvent être arrêtés à 600 fr. (art. 7 al. 1 et 20 al. 2 TDC [tarif des dépens en matière civile du 23 novembre 2010 ; RSV 270.11.6]). Par ces motifs, le juge délégué de la Cour d’appel civile prononce : I. L’appel est rejeté. II. L'ordonnance est confirmée.</w:t>
      </w:r>
    </w:p>
    <w:p>
      <w:r>
        <w:t>- 15 - III. La demande d’assistance judiciaire est rejetée. IV. Les frais judiciaires de deuxième instance, arrêtés à 600 fr. (six cents francs), sont mis à la charge de l’appelant, T.________. V. L’appelant, T.________, doit verser à l’intimée, Q.________ la somme de 600 fr. (six cents francs), à titre de dépens de deuxième instance. VI. L’arrêt est exécutoire. Le juge délégué : La greffière : Du Le présent arrêt, dont la rédaction a été approuvée à huis clos, est notifié en expédition complète à : - Me Jean-Marc Reymond, avocat (pour T.________), - Me Eric Stauffacher, avocat (pour Q.________), et communiqué, par l'envoi de photocopies, à : - Mme la Présidente du Tribunal civil de l’arrondissement de l’Est vaudois. Le juge délégué de la Cour d’appel civile considère que la valeur litigieuse est supérieure à 30’000 francs.</w:t>
      </w:r>
    </w:p>
    <w:p>
      <w:r>
        <w:t>- 16 -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