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JS14.045779 vom 29. April 2015</w:t>
      </w:r>
    </w:p>
    <w:p>
      <w:r>
        <w:t>VD Tribunal cantonal, 2015-04-29, FR</w:t>
      </w:r>
    </w:p>
    <w:p>
      <w:r>
        <w:rPr>
          <w:b/>
        </w:rPr>
        <w:t xml:space="preserve">Quelle: </w:t>
      </w:r>
      <w:r>
        <w:t>https://mcp.opencaselaw.ch/entscheid/vd_gerichte_JS14.045779</w:t>
      </w:r>
    </w:p>
    <w:p>
      <w:r>
        <w:t>FR: VD_GERICHTE JS14.045779 du 29 avril 2015</w:t>
      </w:r>
    </w:p>
    <w:p>
      <w:r>
        <w:t>IT: VD_GERICHTE JS14.045779 del 29 aprile 2015</w:t>
      </w:r>
    </w:p>
    <w:p>
      <w:pPr>
        <w:pStyle w:val="Heading2"/>
      </w:pPr>
      <w:r>
        <w:t>Erwägungen</w:t>
      </w:r>
    </w:p>
    <w:p>
      <w:r>
        <w:rPr>
          <w:b/>
        </w:rPr>
        <w:t>E. 3</w:t>
      </w:r>
    </w:p>
    <w:p>
      <w:r>
        <w:t>L’appelant soutient que son salaire tel qu’il découle de la copie du relevé pour l’année 2014 (pièce n° 3 du bordereau du 17 avril 2015) s’élève à 3'995 fr. 30 net, et non à 4'146 fr. comme retenu par le prononcé attaqué. Le premier juge s’est toutefois fondé sur la pièce n° 103 du bordereau de l’appelant du 19 décembre 2014, soit le certificat de salaire pour l’année 2013, et l’appelant n’a pas allégué une diminution de salaire dans l’intervalle, ni produit le certificat de salaire pour l’année 2014 dans le délai imparti par le premier juge à l’audience pour produire des pièces complémentaires. A cet égard, la maxime inquisitoire applicable au litige</w:t>
      </w:r>
    </w:p>
    <w:p>
      <w:r>
        <w:t>- 7 - n’imposait pas au premier juge de requérir spontanément de l’appelant de produire de nouvelles pièces sur sa situation financière, alors que celui-ci n’avait pas indiqué qu’elle se serait modifiée (TF 5A_149/2011 du 6 juillet 2011 c. 2.4). En outre, la pièce sur laquelle se fonde l’appelant n’est pas exhaustive, puisque n’y figurent pas les traitements des mois de novembre et décembre 2014. Quant aux autres pièces produites en première instance, elles ne sont pas déterminantes car elles ne concernent que les salaires de l’appelant des mois de juillet à septembre 2014.</w:t>
      </w:r>
    </w:p>
    <w:p>
      <w:r>
        <w:rPr>
          <w:b/>
        </w:rPr>
        <w:t>E. 4</w:t>
      </w:r>
    </w:p>
    <w:p>
      <w:r>
        <w:t>L’appelant soutient que la charge du crédit personnel de 504 fr. par mois et de remboursement des cartes de crédit doivent être incluses dans son minimum vital dès lors qu’un véhicule lui est indispensable vu ses horaires de travail et que les autres crédits ont servi à l’entretien du couple.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w:t>
      </w:r>
    </w:p>
    <w:p>
      <w:r>
        <w:t>- 8 -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De surcroît, seules les charges effectives, dont le débirentier s'acquitte réellement, doivent être prises en compte (ATF 121 III 20 c. 3a; 126 III 89 c. 3b; TF 5A_236/2011 du 18 octobre 2011 c. 4.1.3; TF 5A_65/2013 du 4 septembre 2013 c. 3.2.1). En outre, cette prise en compte des dettes communes ne vaut que lorsque les minima vitaux des parties sont couverts (ATF 140 III 337 c. 4.4).</w:t>
      </w:r>
    </w:p>
    <w:p>
      <w:r>
        <w:t>- 9 -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 3.1). En l’espèce, les pièces produites par l’appelant en première instance, savoir le contrat d’augmentation de crédit du 13 décembre 2012 et les récépissés postaux, ne suffisent pas à rendre vraisemblable que le premier a trait à l’acquisition d’un véhicule nécessaire à l’activité professionnelle et que les seconds concernent le remboursement de frais engagés pour le ménage commun aux fins de l’entretien des deux époux. L’appelant n’a en outre allégué ce fait, de même que la nécessité professionnelle de l’utilisation d’un véhicule, qu’en deuxième instance seulement, ce qui constitue des éléments nouveaux au sens de l’art. 317 al. 1 CPC, partant irrecevables. Ces caractéristiques ne ressortent en outre pas des allégations de première instance de l’appelant selon lesquelles ces emprunts auraient servi à l’acquisition d’un véhicule, d’un téléviseur et au financement de vacances au Maroc. Rien n’indique, par exemple, que l’intimée aurait accompagné l’appelant durant ces vacances. Dans ces circonstances, et au vu des pièces produites en première instance, c’est à juste titre que le premier juge n’a pas inclus le remboursement de ces dettes dans le minimum vital de l’appelant.</w:t>
      </w:r>
    </w:p>
    <w:p>
      <w:r>
        <w:rPr>
          <w:b/>
        </w:rPr>
        <w:t>E. 5</w:t>
      </w:r>
    </w:p>
    <w:p>
      <w:r>
        <w:t>Au vu des pièces produites en première instance, des allégations y relatives et de la prohibition de nova en deuxième instance, l’appel était dénué de chances de succès au sens de l’art. 117 let. b CPC, de sorte que la requête d’assistance judiciaire de l’appelant doit être rejetée.</w:t>
      </w:r>
    </w:p>
    <w:p>
      <w:r>
        <w:t>- 10 -</w:t>
      </w:r>
    </w:p>
    <w:p>
      <w:r>
        <w:rPr>
          <w:b/>
        </w:rPr>
        <w:t>E. 6</w:t>
      </w:r>
    </w:p>
    <w:p>
      <w:r>
        <w:t>En conclusion, la requête d’assistance judiciaire et l’appel doivent être rejeté selon le mode procédural de l’art. 312 al. 1 CPC et le prononcé confirmé. Vu le rejet de l’appel, les frais judiciaires de deuxième instance, arrêtés à 600 fr. (art. 65 al. 2 TFJC [tarif du 28 septembre 2010 des frais judiciaires civils ; RSV 270.11.5]), doivent être mis à la charge de l’appelant Par ces motifs, la Juge déléguée de la Cour d’appel civile du Tribunal cantonal, statuant en application de l'art. 312 al. 1 CPC, prononce : I. L’appel est rejeté. II. Le prononcé est confirmé. III. La requête d’assistance judiciaire de A.M.________ est rejetée. IV. Les frais judiciaires de deuxième instance, arrêtés à 600 fr. (six cents francs), sont mis à la charge de l’appelant A.M.________. V. L’arrêt motivé est exécutoire. La Juge déléguée : Le greffier :</w:t>
      </w:r>
    </w:p>
    <w:p>
      <w:r>
        <w:t>- 11 - Du 30 avril 2015 Le dispositif de l'arrêt qui précède est communiqué par écrit aux intéressés. Le greffier : Du L'arrêt qui précède, dont la rédaction a été approuvée à huis clos, est notifié en expédition complète, par l'envoi de photocopies, à : - Me Laurent Maire (pour A.M.________), - Me Virginie Rodigari (pour B.M.________).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