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JS14.030778 vom 24. März 2015</w:t>
      </w:r>
    </w:p>
    <w:p>
      <w:r>
        <w:t>VD Tribunal cantonal, 2015-03-24, FR</w:t>
      </w:r>
    </w:p>
    <w:p>
      <w:r>
        <w:rPr>
          <w:b/>
        </w:rPr>
        <w:t xml:space="preserve">Quelle: </w:t>
      </w:r>
      <w:r>
        <w:t>https://mcp.opencaselaw.ch/entscheid/vd_gerichte_JS14.030778</w:t>
      </w:r>
    </w:p>
    <w:p>
      <w:r>
        <w:t>FR: VD_GERICHTE JS14.030778 du 24 mars 2015</w:t>
      </w:r>
    </w:p>
    <w:p>
      <w:r>
        <w:t>IT: VD_GERICHTE JS14.030778 del 24 marzo 2015</w:t>
      </w:r>
    </w:p>
    <w:p>
      <w:pPr>
        <w:pStyle w:val="Heading2"/>
      </w:pPr>
      <w:r>
        <w:t>Erwägungen</w:t>
      </w:r>
    </w:p>
    <w:p>
      <w:r>
        <w:rPr>
          <w:b/>
        </w:rPr>
        <w:t>E. 3</w:t>
      </w:r>
    </w:p>
    <w:p>
      <w:r>
        <w:t>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Bâle 2011,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w:t>
      </w:r>
    </w:p>
    <w:p>
      <w:r>
        <w:t>- 16 - ou ne pourrait en aucun cas prévaloir sur les autres moyens de preuve déjà administrés par le tribunal de première instance, à savoir lorsqu'il ne serait pas de nature à modifier le résultat des preuves qu'elle tient pour acquis (ATF 138 III 374 ; ATF 131 III 222 c. 4.3 ; ATF 129 III 18 c. 2.6). Si l’instance d’appel doit procéder à l’administration d’une preuve nouvelle ou instruire à raison de faits nouveaux, son pouvoir sera limité par les restrictions de l’art. 317 CPC (Jeandin, op. cit., n. 9 ad art. 316 CPC),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Dans le cadre de mesures provisionnelles, ou de mesure protectrices le juge statue sur la base de la simple vraisemblance après une administration limitée des preuves (ATF 120 II 352 c. 2b), en se fondant sur les moyens de preuve immédiatement disponibles (ATF 131 III 473 c. 2.3 in limine; TF 5A_497/2011 du 5 décembre 2011 c. 3.2; TF 5A_41/2011 du 10 août 2011 c. 4.2 in fine; TF 5A_4/2011 du 9 août 2011 c. 3.2; TF 5A_720/2009 du 18 janvier 2010 c. 5.3), ce qui exclut la mise en œuvre d'une expertise financière sur les revenus d'une partie (CACI 6 février 2012/59; CACI 25 août 2011/211; Chaix, Commentaire romand du Code civil, Bâle 2010, n. 7 ad art. 176 CC) et, de manière générale, les mesures d'instruction coûteuses (TF 5A_610/2012 du 20 mars 2013 c. 1.3). Le juge se fondera donc notamment sur la comptabilité produite par cette partie – qui n’a qu’une valeur probante limitée dans la mesure où elle est établie sur la base des données fournies par la partie elle-même – ainsi que sur les autres éléments pertinents au dossier (Juge délégué CACI 8 juillet 2013/362). c) En l'espèce, dès lors que l'on se trouve dans le cadre d'une procédure de mesures protectrices de l'union conjugale, il n'y a pas lieu d'ordonner l'expertise requise par l'appelante.</w:t>
      </w:r>
    </w:p>
    <w:p>
      <w:r>
        <w:t>- 17 -</w:t>
      </w:r>
    </w:p>
    <w:p>
      <w:r>
        <w:rPr>
          <w:b/>
        </w:rPr>
        <w:t>E. 4</w:t>
      </w:r>
    </w:p>
    <w:p>
      <w:r>
        <w:t>a) L'appelante fait en premier lieu valoir que l'intimé aurait intentionnellement diminué son revenu. Elle lui reproche également d'avoir prélevé sur le compte de sa société d'importantes sommes à titre privé, dont elle estime qu'elles devraient être prises en compte à titre de salaire. Lors de l'audience d'appel, elle a également plaidé que les difficultés de liquidités rencontrées par Z.________AG, qu'elle conteste d'ailleurs, auraient pu être évitées si l'intimé contrôlait de manière plus efficiente l'encaissement des créances de ses débiteurs. En définitive, l'appelante soutient qu'il faut imputer un revenu hypothétique à l'intimé correspondant au revenu qu'il réalisait jusqu'en août 2014. b) S'agissant de la détermination des ressources du débirentier,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TF 5A_ 506/2014 du 23 octobre 2014 c. 4.2.2.; TF 5A_696/2011 du 28 juin 2012 c. 4.1.2, in FamPra.ch 2012 p. 1128 et réf. à ATF 121 III 319 c. 5a/aa ; 112 II 503 c. 3b; 108 II 213 c. 6a; 102 III 165 c.. II/1). Ainsi, lorsqu'il existe une unité économique entre une société anonyme et un actionnaire unique ou principal, il peut se justifier, dans les procès du droit de famille, d'examiner la capacité contributive de l'actionnaire en application des règles relatives aux indépendants (TF 5P.127/2003 du 4 juillet 2003 c. 2.2., in FamPra.ch 2004 p. 909; TF 5A_392/2014 du 20 août 2014 c. 2.2).</w:t>
      </w:r>
    </w:p>
    <w:p>
      <w:r>
        <w:t>- 18 - Pour les indépendants, le revenu est constitué – lorsqu'une comptabilité est tenue dans les règles – par le bénéfice net d'un exercice; en l'absence de comptabilité, il s'agit de la différence du capital propre entre deux exercices (Chaix, op. cit., n. 7 ad art. 176 CC). Le revenu d'un indépendant est constitué par son bénéfice net. En cas de revenus fluctuants, pour obtenir un résultat fiable, il convient de tenir compte, en général, du bénéfice net moyen réalisé durant plusieurs années (TF 5A_246/2009 du 22 mars 2010 c. 3.1, in FamPra.ch 2010 678 et les références). Ce n'est que lorsque les allégations sur le montant des revenus ne sont pas vraisemblables et que les pièces produites ne sont pas convaincantes - comme par ex. lorsque les comptes de résultat manquent -, qu'il convient de se fonder sur le niveau de vie des époux durant la vie commune. Les prélèvements privés constituent alors un indice permettant de déterminer ce train de vie (TF 5A_384/2014 du 15 décembre 2014 c. 2.1; TF 5A_ 396/2013 du 26 février 2014 c. 3.2.2; TF 5A_259/2012 du 14 novembre 2012 c. 4.2, SJ 2013 I 451; TF 5A_246/2009 du 22 mars 2010 c. 3.1., FamPra.ch 2010 p. 678).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5A_544/2014 du 17 septembre 2014 c. 4.1; TF 5A_396/2013 du 26 février 2014 c.3.2.3; TF 5A_259/2012 du 14 novembre 2012 c. 4.3, SJ 2013 I 451) Si, en vue de la procédure, un époux se laisse soudainement employer par la société qu'il maîtrise économiquement à un salaire largement inférieur à celui qu'il réalisait précédemment, sans que cette diminution ne soit justifiée du point de vue de l'entreprise, il doit être considéré comme s'il avait intentionnellement diminué son revenu (TF</w:t>
      </w:r>
    </w:p>
    <w:p>
      <w:r>
        <w:t>- 19 - 5P.235/2001 du 20 novembre 2001 c. 4c). Il n'est cependant pas arbitraire de s'en tenir aux fiches de salaire, lorsqu'il n'existe aucun élément permettant de rendre vraisemblable que les fiches de salaire produites ne sont pas le reflet de la réalité (TF 5A_392/2014 du 20 août 2014 c. 2.2). c) En l'espèce, l'appelante allègue que l'intimé a diminué volontairement et par manque de motivation son salaire. Il n'est certes pas contesté que la décision de diminution de son salaire a été prise par l'intimé lui-même, lors d'une réunion du conseil d'administration à laquelle participait M.________, le comptable de Z.________AG. Néanmoins, une telle diminution est admissible si elle est justifiée économiquement du point de vue de l'entreprise. Tel est le cas en l'occurrence puisqu'à plusieurs reprises durant l'année 2014, la société Z.________AG n'a disposé que de très peu de liquidités. Ainsi, on peut relever qu'à la fin du mois de juin 2014, le solde du compte postal de la société n'était que de 17'307 fr. 24, ce qui ne suffisait pas à payer les salaires des employés et les charges courantes. La situation était encore plus délicate durant le mois de septembre 2014 puisque le solde du compte postal est descendu jusqu'à 11'000 francs. En effet, comme l'intimé l'a indiqué lors de l'audience d'appel, il a peu de clients et encaisse les montants payés par ceux-ci de manière irrégulière. Il doit donc disposer de suffisamment de liquidités pour pouvoir payer les charges courantes de l'entreprise pendant plusieurs mois, notamment les salaires, puisqu'il est susceptible de n'encaisser aucune facture durant un laps de temps qui peut être relativement long. Cela explique pourquoi le solde du compte postal de la société peut varier de manière importante. Il n'en demeure pas moins que, durant les mois de juin et septembre 2014 notamment, le niveau de liquidités de l'entreprise était critique. Le témoin M.________ a confirmé que suite aux pertes subies par Z.________AG en 2013 et durant le premier semestre 2014, les fonds propres avaient considérablement diminué et l'avoir du compte courant s'était réduit. Selon ce témoin, si la situation devait perdurer, Z.________AG aurait des problèmes de liquidités à l'avenir. En outre, on ne peut que constater que la situation économique de l'entreprise s'est péjorée depuis l'année 2012. En effet, si</w:t>
      </w:r>
    </w:p>
    <w:p>
      <w:r>
        <w:t>- 20 - la société a réalisé un bénéfice de 4'431 fr. 77 en 2012, elle a accusé une perte de 38'773 fr. en 2013 et de 16'232 fr. 42 pour les six premiers mois de 2014. Au demeurant, les mesures d'assainissement décidées lors de l'assemblée du conseil d'administration du 18 juillet 2014 n'ont pas uniquement consisté à réduire le salaire de l'intimé. Il a également été décidé de sous-louer une partie des locaux de l'entreprise à Zurich ainsi que de réduire les charges de personnel. Par conséquent, la décision prise par Z.________AG de réduire le salaire mensuel brut de l'intimé à 10'000 fr. est justifiée au vu de la situation économique de la société. S'agissant des assertions de l'appelante selon lesquelles l'intimé serait négligent au sujet de l'encaissement des créances de ses débiteurs, qui sont contestées par l'intéressé, elles ne sont aucunement prouvées, ni même rendues vraisemblable, le témoin M.________ s'étant d'ailleurs contenté d'indiquer à ce sujet qu'il avait rendu B.T.________ attentif à la nécessité de contrôler en permanence les créances des débiteurs et, en cas d'arriéré de paiement, d'avertir immédiatement le client. On relèvera également que, selon les explications de l'intimé, il a prélevé d'importantes sommes à titre privé sur le compte de Z.________AG durant l'année 2013 notamment pour financer des travaux d'étanchéité effectués sur l'immeuble conjugal . S'agissant des deux sommes de 10'000 fr. prélevées au début de l'année 2014, elles auraient servi à acquitter différentes factures datant de la vie commune des parties, ainsi que sa garantie de loyer et ses frais d'avocat. Depuis lors, les prélèvements privés de l'intimé ont cessé puisqu'il n'a semble-t-il plus prélevé qu'un montant de 1'000 fr. en août 2014. Quoi qu'il en soit, l'importance de ces prélèvements privés atteste du fait que les parties, lorsqu'elles faisaient ménage commun, avaient un train de vie supérieur à leurs moyens puisqu'elles n'arrivaient pas à vivre uniquement avec leurs deux salaires. Ainsi, il est exclu de tenir compte des prélèvements privés effectués par l'intimé pour déterminer son salaire, étant au surplus précisé qu'ils ont désormais cessé.</w:t>
      </w:r>
    </w:p>
    <w:p>
      <w:r>
        <w:t>- 21 - Ce moyen de l'appelante s'avère mal fondé et doit être rejeté.</w:t>
      </w:r>
    </w:p>
    <w:p>
      <w:r>
        <w:rPr>
          <w:b/>
        </w:rPr>
        <w:t>E. 5</w:t>
      </w:r>
    </w:p>
    <w:p>
      <w:r>
        <w:t>a) L'appelante soutient également que la pension devrait être augmentée en raison des charges liées à la maison conjugale, qui ascendent à 6'061 fr. 40 par mois et dont elle ne parvient plus à s'acquitter. b)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5A_365/2014 du 25 juillet 2014 c. 3.1). Un loyer disproportionné par rapport à la situation économique et personnelle doit être ramené à un niveau normal selon l'usage local après expiration du prochain délai de résiliation du contrat de bail; il faudra procéder de manière analogique pour un débiteur propriétaire d'un immeuble qui se trouve confronté à des charges d'intérêts hypothécaires disproportionnées (Lignes directrices pour le calcul du minimum vital du droit des poursuites selon l'art. 93 LP du 1er juillet 2009 ch. II; ATF 129 II 526). c) En l'espèce, on ne voit pas ce que l'appelante reproche concrètement à la décision prise par le premier juge. En effet, les charges liées au domicile conjugal, même si elles sont excessivement élevées au regard de la situation économique des parties, ont été intégralement prises en compte dans le minimum vital de l'appelante. En outre, le disponible de l'intimé a été entièrement affecté au paiement de la contribution d'entretien. Ainsi, le grief de l'appelante, mal fondé, ne peut qu'être rejeté.</w:t>
      </w:r>
    </w:p>
    <w:p>
      <w:r>
        <w:t>- 22 -</w:t>
      </w:r>
    </w:p>
    <w:p>
      <w:r>
        <w:rPr>
          <w:b/>
        </w:rPr>
        <w:t>E. 6</w:t>
      </w:r>
    </w:p>
    <w:p>
      <w:r>
        <w:t>L'appelante conteste également à plusieurs égards le calcul du minimum vital de l'intimé tel qu'effectué par la première juge. a) En premier lieu, A.T.________ s'oppose à la prise en compte des primes d'assurance-maladie complémentaires et des acomptes d'impôts de l'intimé dans son minimum vital. 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 6.3.1, FamPra.ch 2012 p. 160; TF 5A_732/2007 du 4 avril 2008 c. 2.1). Ce principe s'applique aussi aux mesures protectrices de l'union conjugale et aux mesures provisionnelles (TF 5A_511/2010 du 4 février 2011 c. 2.2.3; TF 5A_508/2011 du 21 novembre 2011 c. 4.2.5; TF 5A_219/2014 du 26 juin 2014 c. 4.2.1). En cas d'accord des parties, les assurances complémentaires peuvent être intégrées dans le budget des parties (Chaix, op. cit., n. 9 ad art. 176 CC; Juge délégué CACI 18 avril 2011/53). En l'espèce, s'agissant de la charge fiscale courante, le revenu mensuel net de l'intimé, qui est relativement élevé, justifie qu'on la prenne en compte dans le calcul de son minimum vital. Elle a par ailleurs également été retenue dans le calcul du minimum vital de l'appelante. En ce qui concerne les primes des assurances-maladie complémentaires, les parties étaient d'accord d'en tenir compte au stade du calcul de la pension lorsqu'elles ont signé la convention de mesures protectrices de l'union conjugale le 18 décembre 2013. Ainsi, on ne peut pas faire grief au premier juge d'avoir retenu à nouveau ces montants dans son ordonnance du 4 février 2015. b) L'appelante fait également grief au premier juge d'avoir retenu dans le minimum vital de l'intimé des frais de transport et de repas</w:t>
      </w:r>
    </w:p>
    <w:p>
      <w:r>
        <w:t>- 23 - hors du domicile. Elle soutient que ces frais sont assumés par Z.________AG et se réfère en cela à la comptabilité de la société, en particulier à son compte courant, sans plus de précision. Cependant, ni l'examen de la comptabilité de Z.________AG ni celui des extraits du compte courant de cette société ne permettent de déterminer que les frais de transport et de repas de l'intimé sont pris en charge par l'entreprise. L'appelante, qui s'est abstenue d'indiquer précisément à quel aspect de la comptabilité et à quelles opérations du compte courant elle se référait, a échoué dans la preuve de ses allégations. Son grief, mal fondé, doit être rejeté. c) Enfin, l'appelante soutient que le loyer mensuel de l'appartement de l'intimé s'élève à 2'200 fr. et non pas 3'700 fr., dans la mesure où un montant de 1'500 fr. par mois est assumé par Z.________AG. Le premier juge a néanmoins déjà tenu compte du montant dont Z.________AG s'acquitte au stade du calcul des revenus de l'intimé. Ainsi, si l'on devait suivre le raisonnement de l'appelante, cela reviendrait à prendre deux fois en compte la part du loyer payée par la société. La décision du premier juge à cet égard ne prête donc pas le flanc à la critique.</w:t>
      </w:r>
    </w:p>
    <w:p>
      <w:r>
        <w:rPr>
          <w:b/>
        </w:rPr>
        <w:t>E. 7</w:t>
      </w:r>
    </w:p>
    <w:p>
      <w:r>
        <w:t>a) En définitive, l'appel doit être rejeté et l'ordonnance entreprise confirmée. b) Les frais judiciaires de deuxième instance, arrêtés à 2'000 fr. (art. 63 al. 3 TFJC [tarif des frais judiciaires civils du 28 septembre 2010, RSV 270.11.5]), sont mis à la charge de l'appelante, qui succombe (art. 106 al. 1 CPC). c) L'appel étant rejeté, l'intimé a droit à de pleins dépens, arrêtés à 1'200 fr. (art. 106 al. 1 CPC et 9 al. 1 TDC [tarif des dépens en</w:t>
      </w:r>
    </w:p>
    <w:p>
      <w:r>
        <w:t>- 24 - matière civile du 23 novembre 2010, RSV 270.11.6]). Par ces motifs, le Juge délégué de la Cour d’appel civile du Tribunal cantonal, prononce : I. L’appel est rejeté. II. L'ordonnance est confirmée. III. Les frais judiciaires de deuxième instance, arrêtés à 2'000 fr. (deux mille francs), sont mis à la charge de l'appelante. IV. L'appelante A.T.________ doit verser à l'intimé B.T.________ la somme de 1'200 fr. à titre de dépens de deuxième instance. V. L'arrêt est exécutoire Le juge délégué : La greffière : Du L'arrêt qui précède, dont la rédaction a été approuvée à huis clos, est notifié à : - Me Anne-Rebecca Bula (pour A.T.________), - Me Cornelia Seeger Tappy (pour B.T.________).</w:t>
      </w:r>
    </w:p>
    <w:p>
      <w:r>
        <w:t>- 25 -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