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JS14.027356 vom 12. Dezember 2014</w:t>
      </w:r>
    </w:p>
    <w:p>
      <w:r>
        <w:t>VD Tribunal cantonal, 2014-12-12, FR</w:t>
      </w:r>
    </w:p>
    <w:p>
      <w:r>
        <w:rPr>
          <w:b/>
        </w:rPr>
        <w:t xml:space="preserve">Quelle: </w:t>
      </w:r>
      <w:r>
        <w:t>https://mcp.opencaselaw.ch/entscheid/vd_gerichte_JS14.027356</w:t>
      </w:r>
    </w:p>
    <w:p>
      <w:r>
        <w:t>FR: VD_GERICHTE JS14.027356 du 12 décembre 2014</w:t>
      </w:r>
    </w:p>
    <w:p>
      <w:r>
        <w:t>IT: VD_GERICHTE JS14.027356 del 12 dicembre 2014</w:t>
      </w:r>
    </w:p>
    <w:p>
      <w:pPr>
        <w:pStyle w:val="Heading2"/>
      </w:pPr>
      <w:r>
        <w:t>Erwägungen</w:t>
      </w:r>
    </w:p>
    <w:p>
      <w:r>
        <w:rPr>
          <w:b/>
        </w:rPr>
        <w:t>E. 4</w:t>
      </w:r>
    </w:p>
    <w:p>
      <w:r>
        <w:t>L’appelant soutient que l’intimée serait en mesure de subvenir elle-même à son entretien, de sorte qu’aucune créance d’entretien ne devrait lui être reconnue. A l’appui de ce moyen, il explique que, contrairement à lui, l’état de santé de l’intimée lui permettrait de reprendre une activité lucrative à plein temps. a) Pour fixer la contribution d’entretien due au conjoint dans le cadre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La prise en considération de ces critères ne signifie pas pour autant que le juge des mesures protectrices puisse trancher, même sous l’angle de la vraisemblance, les questions de fond, objet d’un éventuel procès en divorce, en particulier celle de savoir si le mariage a influencé concrètement la situation financière du conjoint. Le principe du « clean break » ne joue par conséquent aucun rôle dans le cadre des mesures provisionnelles ou des mesures protectrices (ATF 137 III 385 c. 3.1 ; TF 5A_502/2010 du 25 juillet 2011 c. 3.2.1, in FamPra.ch 2011, n. 67 p. 993 ; TF 5A_591/2011 du 7 décembre 2011 c. 4.1.1 et réf. ; TF 5A_522/2011 du 18 janvier 2012 c. 4.1 ; TF 5A_973/2013 du 9 mai 2014</w:t>
      </w:r>
    </w:p>
    <w:p>
      <w:r>
        <w:t>- 10 - c. 6.3.3). Ainsi, le juge ne saurait refuser à l’épouse une contribution au seul motif qu’elle dispose d’un disponible après couverture de son minimum vital (TF 5A_228/2012 du 11 juin 2012 c. 4.3).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(TF 5A_15/2014 du 28 juillet 2014 c. 5.2.1 ; ATF 137 III 102 c. 4.2.1.1). b) En l’espèce, le premier juge a fixé le montant de la contribution mise à la charge de l’appelant en faveur de son épouse selon la méthode dite du minimum vital élargi avec répartition de l’excédent, méthode qui n’est pas contestée. Il ressort du dossier que depuis le 1er janvier 2014, correspondant à la période où l’appelant a été mis en incapacité de travail complète, l’intimée a augmenté son taux d’activité d’assistante en pharmacie pour le porter de 60% à 90.47%. On ne saurait dès lors lui reprocher de ne pas avoir participé, selon ses facultés, aux frais supplémentaires qu’engendre la vie séparée. Certes, il incombera à l’intimée de mettre à profit sa capacité de travail pleine et entière, compte tenu de ce que les enfants du couple ont désormais quitté le domicile familial, pour exercer une activité à plein temps, auprès de son employeur actuel ou d’un autre employeur. Toutefois, à ce stade, il n’est pas démontré que l’intimée aurait la possibilité concrète d’augmenter immédiatement son taux d’activité auprès de son employeur actuel, de sorte qu’il n’y a pas lieu, dans le régime des mesures protectrices de l’union conjugale dont la modification peut être demandée en tout temps, de lui imputer un revenu hypothétique plus élevé que son revenu actuel. Par ailleurs, le premier juge a tenu compte de l’incapacité de travail actuelle de l’appelant dès lors qu’il a pris en considération les</w:t>
      </w:r>
    </w:p>
    <w:p>
      <w:r>
        <w:t>- 11 - indemnités journalières effectivement perçues par l’appelant à titre de revenu déterminant pour arrêter le montant de la contribution d’entretien. Le fait qu’une demande de prestations de l’assurance invalidité a été déposée en décembre 2013 et est actuellement en cours d’examen ne saurait conduire, à ce stade, à anticiper une éventuelle incapacité de travail de longue durée, tant que l’appelant bénéficie de prestations de l’assurance perte de gain pour maladie. Une modification de la situation financière de l’appelant, notamment en cas de fin du droit aux indemnités journalières qui ne seraient pas (ou seulement partiellement) remplacées par d’autres prestations d’assurance, telles qu’une rente de l’assurance invalidité, justifiera le cas échéant une modification des mesures protectrices de l’union conjugale.</w:t>
      </w:r>
    </w:p>
    <w:p>
      <w:r>
        <w:rPr>
          <w:b/>
        </w:rPr>
        <w:t>E. 5</w:t>
      </w:r>
    </w:p>
    <w:p>
      <w:r>
        <w:t>A titre subsidiaire, l’appelant reproche au premier juge d’avoir refusé de tenir compte de la fortune de l’intimée, constituée d’un immeuble sis à [...], pour arrêter le montant dont elle dispose après avoir payé ses charges incompressibles. Il soutient que celle-ci n’aurait pas démontré qu’elle ne pouvait y loger pour économiser un loyer ou qu’elle ne pouvait mettre le bien en location afin d’augmenter ses revenus. a)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b) En l’espèce, il ressort des pièces du dossier que l’intimée est effectivement propriétaire d’un immeuble à [...] dont l’estimation fiscale se monte à 265’000 francs. Cet élément ne saurait toutefois à ce</w:t>
      </w:r>
    </w:p>
    <w:p>
      <w:r>
        <w:t>- 12 - stade avoir une incidence sur la fixation de la contribution d’entretien fondée sur les art. 163 et 176 al. 1 ch. 1 CC. En effet, la décision de taxation produite en première instance ne retient aucun revenu locatif pour cet immeuble. Ainsi, et contrairement à ce qu’affirme l’appelant, l’intimée a démontré à satisfaction de droit que cet immeuble n’est pas habitable en l’état et qu’elle ne peut donc ni l’occuper de manière à épargner un loyer, ni le louer à des tiers afin de compléter son revenu. Il résulte de ce qui précède que le premier juge a retenu à juste titre que les charges incompressibles de l’intimée s’élèvent à 2'839 fr. 95 et qu’elle dispose d’un montant de 939 fr. 45 une fois ses charges assumées.</w:t>
      </w:r>
    </w:p>
    <w:p>
      <w:r>
        <w:rPr>
          <w:b/>
        </w:rPr>
        <w:t>E. 6</w:t>
      </w:r>
    </w:p>
    <w:p>
      <w:r>
        <w:t>En définitive, tant le principe d’une contribution d’entretien en faveur de l’intimée que son montant doivent être confirmés. L’appel doit dès lors être rejeté dans la procédure de l’art. 312 al. 1 CPC et l’ordonnance entreprise confirmée.</w:t>
      </w:r>
    </w:p>
    <w:p>
      <w:r>
        <w:rPr>
          <w:b/>
        </w:rPr>
        <w:t>E. 7</w:t>
      </w:r>
    </w:p>
    <w:p>
      <w:r>
        <w:t>a) Aux termes de l’art. 117 CPC, une personne a droit à l’assistance judiciaire si elle ne dispose pas de ressources suffisantes (let. a) et si sa cause ne paraît pas dépourvue de toute chance de succès (let. b). Quoique l’appelant succombe, il n’est pas possible d’affirmer que ses conclusions apparaissaient d’emblée vouées à l’échec. Il ne dispose par ailleurs pas de ressources suffisantes, de sorte que les conditions de l’art. 117 CPC sont réunies. Il y a ainsi lieu d’accorder à l’appelant le bénéfice de l’assistance judiciaire pour la procédure de deuxième instance (cf. art. 119 al. 5 CPC), comprenant l’assistance d’un avocat en la personne de Me Etienne Campiche, dès le 3 novembre 2014. Compte tenu de sa situation financière, l’appelant sera astreint à payer un montant de 100 fr. à titre de franchise mensuelle, dès et y compris le 1er janvier 2015, à verser auprès du Service juridique et législatif, à Lausanne.</w:t>
      </w:r>
    </w:p>
    <w:p>
      <w:r>
        <w:t>- 13 - b) Conformément à l’art. 122 al. 1 let. a CPC, le conseil juridique commis d’office a droit à une rémunération équitable pour ses opérations et débours dans la procédure d’appel. Le 8 décembre 2014, Me Etienne Campiche a transmis la liste de ses opérations pour la procédure d’appel. L'avocat indique avoir consacré 11 heures 45 à la procédure de deuxième instance, dont notamment 9 heures pour la rédaction de l’appel. Compte tenu de la connaissance du dossier de première instance par le conseil d'office et de l'absence de difficultés particulières des griefs soulevés en appel, déjà tous examinés en première instance, le temps consacré à la rédaction de l’appel apparaît exagéré et sera réduit à 7 heures, en sus de 3 heures consacrées aux autres opérations décrites par l’avocat. En définitive, l’indemnité d’office de Me Etienne Campiche, conseil d’office de l’appelant, pour la procédure de deuxième instance doit être arrêtée à 1’800 fr. d’honoraires — correspondant à 10 heures de travail admissibles rémunéré au tarif horaire de 180 fr. (art. 2 al. 1 let. a et b RAJ [règlement du 7 décembre 2010 sur l’assistance judiciaire en matière civile; RSV 211.02.3]) — à laquelle s’ajoutent des débours pour un montant forfaitaire de 50 fr., ainsi que la TVA sur ces montants par 148 fr., soit un total de 1'998 francs.</w:t>
      </w:r>
    </w:p>
    <w:p>
      <w:r>
        <w:rPr>
          <w:b/>
        </w:rPr>
        <w:t>E. 8</w:t>
      </w:r>
    </w:p>
    <w:p>
      <w:r>
        <w:t>Vu l’octroi de l’assistance judiciaire à l’appelant, les frais judiciaires de deuxième instance, qui doivent être arrêtés à 600 fr. (art. 65 al. 2 TFJC [tarif des frais judiciaires civils du 28 septembre 2010; RSV 270.11.51) pour l’appelant, seront provisoirement laissés à la charge de l’Etat (art. 106 al. 1 et 122 al. 1 let. b CPC). Dans la mesure de l’art. 123 CPC, le bénéficiaire de l’assistance judiciaire est tenu au remboursement des frais judiciaires et de l’indemnité à son conseil d’office mis à la charge de l’Etat. Il n’y a pas lieu d’allouer de dépens de deuxième instance, dès lors que l’intimée n’a pas été invitée à se déterminer sur l’appel.</w:t>
      </w:r>
    </w:p>
    <w:p>
      <w:r>
        <w:t>- 14 - Par ces motifs, le juge délégué de la Cour d’appel civile du Tribunal cantonal, statuant à huis clos, prononce : I. L’appel est rejeté. II. L’ordonnance est confirmée. III. L’assistance judiciaire est accordée à l’appelant A.F.________ avec effet au 3 novembre 2014 dans la procédure d’appel et Me Etienne Campiche lui est désigné comme conseil d’office. IV. A.F.________ est astreint à payer une franchise mensuelle de 100 fr. (cent francs) dès et y compris le 1er janvier 2015, à verser auprès du Service juridique et législatif, Secteur recouvrement, case postale, à 1014 Lausanne. V. L’indemnité de Me Etienne Campiche, conseil de l’appelant A.F.________, est arrêtée à 1'998 fr. (mille neuf cent nonante huit francs), TVA et débours compris. VI. Le bénéficiaire de l’assistance judiciaire est, dans la mesure de l’art. 123 CPC, tenu au remboursement des frais judiciaires et de l’indemnité à son conseil d’office mis à la charge de l’Etat. VII. Les frais judiciaires de deuxième instance, arrêtés à 600 fr. (six cents francs) pour l’appelant A.F.________, sont provisoirement laissés à la charge de l’Etat. VIII. Il n’est pas alloué de dépens. IX. L’arrêt motivé est exécutoire.</w:t>
      </w:r>
    </w:p>
    <w:p>
      <w:r>
        <w:t>- 15 - Le juge délégué : La greffière : Du 15 décembre 2014 Le dispositif de l'arrêt qui précède est communiqué par écrit aux intéressés. La greffière : Du L'arrêt qui précède, dont la rédaction a été approuvée à huis clos, est notifié en expédition complète, par l'envoi de photocopies à : - Me Etienne Campiche (pour A.F.________), - Me Dominique-Anne Kirchhofer (pour B.F.________).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- 16 - Ces recours doivent être déposés devant le Tribunal fédéral dans les trente jours qui suivent la présente notification (art. 100 al. 1 LTF). Cet arrêt est communiqué, par l'envoi de photocopies, à : - Mme la vice-présidente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