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JS14.021508 vom 25. September 2014</w:t>
      </w:r>
    </w:p>
    <w:p>
      <w:r>
        <w:t>VD Tribunal cantonal, 2014-09-25, FR</w:t>
      </w:r>
    </w:p>
    <w:p>
      <w:r>
        <w:rPr>
          <w:b/>
        </w:rPr>
        <w:t xml:space="preserve">Quelle: </w:t>
      </w:r>
      <w:r>
        <w:t>https://mcp.opencaselaw.ch/entscheid/vd_gerichte_JS14.021508</w:t>
      </w:r>
    </w:p>
    <w:p>
      <w:r>
        <w:t>FR: VD_GERICHTE JS14.021508 du 25 septembre 2014</w:t>
      </w:r>
    </w:p>
    <w:p>
      <w:r>
        <w:t>IT: VD_GERICHTE JS14.021508 del 25 settembre 2014</w:t>
      </w:r>
    </w:p>
    <w:p>
      <w:pPr>
        <w:pStyle w:val="Heading2"/>
      </w:pPr>
      <w:r>
        <w:t>Erwägungen</w:t>
      </w:r>
    </w:p>
    <w:p>
      <w:r>
        <w:rPr>
          <w:b/>
        </w:rPr>
        <w:t>E. 5</w:t>
      </w:r>
    </w:p>
    <w:p>
      <w:r>
        <w:t>Dans un second moyen, l’appelant conteste la méthode utilisée par le premier juge pour calculer la contribution d’entretien ainsi que les montants retenus, tant au niveau de ses revenus que des charges, pour déterminer la situation financière des parties. 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la fixation de la contribution d'entretien ne devant pas anticiper sur la liquidation du régime matrimonial. Lorsque les parties sont dans une situation matérielle favorable, il convient ainsi de se fonder sur les dépenses indispensables au maintien des conditions de vie antérieures, qui constitue la limite supérieure du droit à l'entretien (ATF 121 I 97 c. 3b et les arrêts cités; TF 5A_453/2009 du 9 novembre 2009 c. 5.2; 5A_515/2008 du 1er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w:t>
      </w:r>
    </w:p>
    <w:p>
      <w:r>
        <w:t>- 12 -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les frais de logement, les coûts de santé (avant tout les primes d’assurance- maladie obligatoire) et les frais de déplacement, s’ils sont indispensables à l’exercice de la profession (François Chaix, in : Pichonnaz/Foëx (éd.), Commentaire romand, Code civil I, 2010, n. 9 ad art. 176 CC et les références citées). b) L’appelant reproche au premier juge d’avoir appliqué la méthode dite du minimum vital avec répartition de l’excédent alors que les parties seraient dans une situation financière favorable, sans toutefois préciser concrètement en quoi et dans quelle mesure l’application de la méthode dite du maintien du train de vie modifierait le calcul effectué par le premier juge. En l’espèce, il n’apparaît pas inéquitable d’appliquer la méthode dite du minimum vital. Les parties n’ont d’ailleurs produit aucun budget basé sur les dépenses effectives mais se sont contentées de produire des pièces permettant d’établir leurs charges incompressibles. c) L’appelant reproche également au premier juge d’avoir tenu compte d’un revenu mensuel net de 18'008 fr. en additionnant les chiffres ressortant des deux certificats de salaire 2012 et 2013 ainsi que des fiches de salaires des mois de janvier à mai 2014. En procédant ainsi, il serait tombé dans l’arbitraire, en ne tenant pas compte du salaire annuel garanti de 95'000 fr. selon contrat de travail et de la variabilité des bonus perçus par l’appelant. Ainsi, seul un revenu mensuel net de 16'588 fr. aurait dû</w:t>
      </w:r>
    </w:p>
    <w:p>
      <w:r>
        <w:t>- 13 - être retenu, correspondant aux certificats de salaire 2012 et 2013 mensualisés. Pour fixer la contribution d'entretien, le juge doit en principe tenir compte du revenu effectif des parties. En cas de revenus fluctuants, pour obtenir un résultat fiable, il convient de tenir compte, en général, du revenu réalisé durant plusieurs années : plus les fluctuations de revenus sont importantes et les données fournies par l'intéressé sont incertaines, plus la période de comparaison doit être longue (TF 5A_132/2014 du 20 juin 2014 c. 3.1.3). En l’espèce, compte tenu des revenus fluctuants que retire l’appelant de son activité, il est pertinent de se fonder sur les montants qu’il a perçus durant plusieurs mois pour procéder à une moyenne et obtenir ainsi un résultat le plus proche possible de la réalité. C’est par conséquent à juste titre que le premier juge a arrêté le montant du revenu de l’appelant sur la base des certificats de salaire des années 2012 et 2013 ainsi que sur les fiches de salaires des mois de janvier à juin 2014. Certes, le revenu du mois de février 2014 est particulièrement élevé du fait d’un important bonus reçu. Néanmoins, le bonus faisant partie du revenu et l’appelant l’ayant effectivement perçu, il n’apparaît pas arbitraire d’en tenir compte. d) L’appelant conteste également l’ordonnance rendue par le premier juge en rapport avec les charges retenues dans celle-ci. da) S’agissant des frais de transport, l’appelant reproche au premier juge de n’avoir pas tenu compte des frais de leasing des deux véhicules des parties à titre de charges dans son propre budget. Or il apparaît que c’est à juste titre que le premier juge n’en a pas tenu compte. En effet, pour ce qui est des frais de leasing en lien avec le véhicule de l’appelant, on constate que ceux-ci sont couverts par le dédommagement mensuel de 1'750 fr. versé par l’employeur à titre de</w:t>
      </w:r>
    </w:p>
    <w:p>
      <w:r>
        <w:t>- 14 - « car allowance. » Quant au second contrat de leasing, il a été transféré au nom de l’intimée qui s’acquitte désormais des frais y relatifs. db) L’appelant relève encore que le premier juge a tenu compte de frais de repas, en retenant, sans raison, un montant de 10 fr. par repas alors qu’il était réclamé 11 fr. par repas et qu’il a tenu compte uniquement de la prime de l’assurance maladie de base et non des primes liées à l’assurance maladie complémentaire. Concernant les frais de repas, les lignes directrices pour le calcul du minimum d'existence en matière de poursuites ainsi que la jurisprudence retiennent un montant entre 9 et 11 fr. par repas. On ne saurait dès lors faire grief au premier juge d’avoir retenu un montant de</w:t>
      </w:r>
    </w:p>
    <w:p>
      <w:r>
        <w:rPr>
          <w:b/>
        </w:rPr>
        <w:t>E. 10</w:t>
      </w:r>
    </w:p>
    <w:p>
      <w:r>
        <w:t>fr. par repas pour les deux parties. Quant aux primes de l’assurance maladie complémentaire, il est correct de ne pas en tenir compte dès lors qu’il s’agit de primes liées à une assurance facultative et, partant, d’une dépense qui n’est pas nécessaire (ATF 123 III 323 c. 3). dc) L’appelant fait encore valoir que c’est à tort que le premier juge n’a pas tenu compte des primes liées à l’assurance 3ème pilier. Etant donné qu’il s’agit également d’une assurance facultative, le premier juge n’en a pas tenu compte à bon droit. e) Enfin, l’appelant se plaint de la répartition de l’excédent effectuée par le premier juge à raison d’un tiers pour l’appelant et de deux tiers pour l’intimée, estimant que, selon la pratique vaudoise, cette répartition doit se faire à raison de 60/40 dans la configuration de parents avec un seul enfant. La fixation de la quotité de la contribution relève du pouvoir d'appréciation du juge, qui applique les règles du droit et de l'équité (art. 4 CC). Il n'y a violation du droit fédéral que si le juge a abusé de son pouvoir d'appréciation, en se référant à des critères dénués de pertinence ou en ne tenant pas compte d'éléments essentiels, ou bien encore si, d'après</w:t>
      </w:r>
    </w:p>
    <w:p>
      <w:r>
        <w:t>- 15 - l'expérience de la vie, le montant arrêté paraît manifestement inéquitable au regard des circonstances (ATF 127 III 136 c. 3 ; FF 1996 I 119 ; ATF 108 II 30 c. 8 p. 32). En l’espèce, il ressort de la décision entreprise que le recourant réalise un revenu mensuel net moyen de 18'008 fr. Après déduction de ses charges (8'134 fr.), il bénéficie d’un disponible de 9'874 fr. Il n’apparaît dès lors pas choquant de procéder à une répartition du solde disponible à raison de deux tiers pour l’intimée et d’un tiers pour le recourant, au vu des besoins de l’intimée qui a la charge d’un enfant et de la capacité contributive de l’appelant. 6. En définitive, l’appel doit être rejeté et l’ordonnance entreprise confirmée. Les frais judiciaires de deuxième instance, arrêtés à 1’500 fr. (art. 63 et 65 TFJC [Tarif des frais judiciaires civils du 28 septembre 2010, RSV 270.11.5]), doivent être mis à la charge de l'appelant. L’intimée s’étant déterminée, elle a droit, vu le rejet de l’appel, à des dépens de deuxième instance, fixés à 1’500 fr. (art. 9 al. 2 TDC [tarif des dépens en matière civile du 23 novembre 2010; RSV 270.11.6]). Par ces motifs, le Juge délégué de la Cour d’appel civile du Tribunal cantonal, statuant à huis clos, prononce : I. L’appel est rejeté. II. L’ordonnance est confirmée.</w:t>
      </w:r>
    </w:p>
    <w:p>
      <w:r>
        <w:t>- 16 - III. Les frais de deuxième instance, arrêtés à 1'500 fr. (mille cinq cents francs), sont mis à la charge de l’appelant G.________. IV. L’appelant G.________ doit verser à l’intimée V.________ la somme de 1'500 fr. (mille cinq cents francs) à titre de dépens de deuxième instance. V. L’arrêt est exécutoire. Le juge délégué : La greffière : Du L'arrêt qui précède, dont la rédaction a été approuvée à huis clos, est notifié à : - Me Alain Sauteur (pour G.________), - Me Franck-Olivier Karlen (pour 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