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JS14.021167 vom 10. November 2014</w:t>
      </w:r>
    </w:p>
    <w:p>
      <w:r>
        <w:t>VD Tribunal cantonal, 2014-11-10, FR</w:t>
      </w:r>
    </w:p>
    <w:p>
      <w:r>
        <w:rPr>
          <w:b/>
        </w:rPr>
        <w:t xml:space="preserve">Quelle: </w:t>
      </w:r>
      <w:r>
        <w:t>https://mcp.opencaselaw.ch/entscheid/vd_gerichte_JS14.021167</w:t>
      </w:r>
    </w:p>
    <w:p>
      <w:r>
        <w:t>FR: VD_GERICHTE JS14.021167 du 10 novembre 2014</w:t>
      </w:r>
    </w:p>
    <w:p>
      <w:r>
        <w:t>IT: VD_GERICHTE JS14.021167 del 10 novembre 2014</w:t>
      </w:r>
    </w:p>
    <w:p>
      <w:pPr>
        <w:pStyle w:val="Heading2"/>
      </w:pPr>
      <w:r>
        <w:t>Erwägungen</w:t>
      </w:r>
    </w:p>
    <w:p>
      <w:r>
        <w:rPr>
          <w:b/>
        </w:rPr>
        <w:t>E. 16</w:t>
      </w:r>
    </w:p>
    <w:p>
      <w:r>
        <w:t>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le couple a un enfant mineur, né après l’audience de mesures protectrices du 15 juillet 2014. Le litige est dès lors régi par la maxime inquisitoire illimitée de l'art. 296 CPC (Hohl, Procédure civile, Tome II, 2e éd., nn. 1166 ss et 2414 ss). Les pièces produites par les parties sont donc susceptibles d'être examinées par le juge de l'appel en application de l'art. 317 al. 1 CPC. 3. 3.1 L’appelant, qui ne conteste pas l’application de la méthode du minimum vital avec répartition de l’excédent, soutient qu’il y a lieu de prévoir deux contributions d’entretien différenciées pour la mère et l’enfant, comme le prévoit l’arrêt du Tribunal fédéral 5A_743/2012 du 6 mars 2013. 3.2 Dans cet arrêt, le Tribunal fédéral a exposé que «la contribution d'entretien due par un conjoint à l'autre dans le cadre de mesures provisionnelles fixées pour la durée de la procédure de divorce doit être arrêtée conformément aux art. 163 CC, 137 al. 2 aCC et 176 al. 1</w:t>
      </w:r>
    </w:p>
    <w:p>
      <w:r>
        <w:t>- 13 -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«bien que la possibilité de fixer une contribution de manière globale pour l'ensemble de la famille ne ressorte pas de la loi, on ne saurait pour autant en déduire que ce procédé aboutirait à un résultat arbitraire.»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3.3 En l’espèce, la fixation d’une contribution globale à l’entretien de la famille dans le cadre des mesures protectrices de l’union conjugale échappe dès lors à la critique, l’art. 176 CC n’imposant pas qu’une distinction soit faite entre le montant alloué pour l’entretien de l’épouse et celui alloué pour l’entretien des enfants mineurs. A cet égard, la fixation d’une contribution d’entretien globale peut en l’état être confirmée dans son principe. Au demeurant,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annoté, Bâle 2011, n. 5 ad art. 282 et 33 ad art. 277 CPC).</w:t>
      </w:r>
    </w:p>
    <w:p>
      <w:r>
        <w:t>- 14 -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La fixation d’un contribution unique à l’entretien de la famille, sans distinction de la part revenant au conjoint et celles revenant aux enfants, doit dès lors être confirmée. 4. Les parties contestent la contribution d’entretien telle qu’arrêtée par le premier juge. Dès lors que la maxime d’office est applicable en l’espèce, les griefs de l’intimée seront examinés dans la mesure où ils concernent la situation du couple après la naissance de l’enfant. 4.1 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w:t>
      </w:r>
    </w:p>
    <w:p>
      <w:r>
        <w:t>- 15 -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TF 5A_277/2009 du 6 juillet 2009 c. 4.4.2; TF 5A_860/2011 du 11 juin 2012 c. 2.1). 4.2 L’appelant fait grief au premier juge de n’avoir retenu dans ses charges essentielles que la moitié des frais professionnels allégués. Il soutient que l’utilisation de son véhicule privé est indispensable à l’exercice de sa profession et qu’il doit prendre ses repas hors du domicile. Dans la mesure où ces frais sont nécessaires à l’obtention d’un salaire, il estime qu’ils doivent être pris en compte dans leur intégralité. 4.2.1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 compris pour un exercice plus commode du droit de visite des enfants (TF 5A_65/2013 du 4 septembre 2013 c. 3.1.2). En revanche lorsque la situation des parties est suffisamment favorable pour couvrir les charges</w:t>
      </w:r>
    </w:p>
    <w:p>
      <w:r>
        <w:t>- 16 - supplémentaires liées à l'existence de deux ménages, un poste relatif aux frais de véhicule peut être ajouté dans les charges des parties (TF 5A_100/2012 du 30 août 2012 c. 5.1) Sont pris en compte les coûts fixes et variables, sans l'amortissement (Lignes directrices pour le calcul du minimum vital du droit des poursuites selon l'art. 93 LP du 1er juillet 2009 ch. II; TF 5A_508/2011 du 21 novembre 2011 c. 4.2.3: l'amortissement ne sert en effet pas à l'entretien, mais à la constitution du patrimoine). Sont englobées les primes d'assurances et la taxe automobile, ainsi qu'un montant par kilomètre (70 ct/km) multiplié par le nombre de jours ouvrables (Juge délégué CACI 4 mai 2011/65). Les frais de leasing d'un véhicule nécessaire à la profession doivent être entièrement pris en compte, sous réserve du leasing d'un véhicule trop onéreux (ATF 140 III337 c. 5.2).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4.2.2 En l’espèce, l’appelant exerce son activité professionnelle à [...], à proximité immédiate de son domicile sis à [...] ; l’usage d’un véhicule privé ne lui est dès lors pas nécessaire pour se rendre à son travail. L’appelant allègue cependant qu’il utilise son véhicule à des fins professionnelles pour se déplacer dans les succursales de la société qui l’emploie, à [...] (canton de Berne), [...] (canton de Fribourg), [...] (canton de Neuchâtel) et [...], ce qui est attesté par son employeur. L’appelant, qui affirme ne pas être indemnisé pour ses déplacements professionnels, se déplace parfois avec son directeur financier pour se rendre à [...]. On ignore cependant la fréquence de ces déplacements, l’appelant ayant déclaré ne pas se rendre souvent à [...], plus souvent à [...] et pas très souvent à [...] et [...]. Les frais de transport de l’appelant ne sauraient dès lors être retenus dans leur intégralité, pas plus d’ailleurs que ses frais de</w:t>
      </w:r>
    </w:p>
    <w:p>
      <w:r>
        <w:t>- 17 - repas hors du domicile, son logement s’avérant proche de son lieu de travail et l’appelant n’ayant au surplus pas établi ses frais de repas tant à [...] que lors de ses déplacements professionnels. S’agissant plus particulièrement de ses frais de leasing, l’appelant a acquis le véhicule objet du leasing, alors que le couple était déjà séparé et qu’il disposait d’un autre véhicule. Il a fait le choix d’un modèle onéreux, dont l’épouse n’a pas à assumer les conséquences financières. Pour tous ces motifs, la prise en compte par le premier juge des frais professionnels de l’appelant à hauteur de 543 fr., soit à concurrence de la moitié des frais allégués, apparaît adéquate et peut être confirmée, le grief de l’appelant étant rejeté sur ce point. 4.3 L’intimée conteste que l’arriéré d’impôt du couple soit retenu dans le minimum vital de l’appelant. 4.3.1 Si les moyens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289 c. 2a/bb, 126 III 353 c. 1a/aa; arrêt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5A_732/2007 du 4 avril 2008 c. 2.1; 5P. 407/1998 du 5 janvier 1999 c. 3c). Ce principe s'applique aussi aux mesures protectrices de l'union conjugale (TF 5A_511/2010 du 4 février 2011 c. 2.2.3; 5A_383/2007 du 9 novembre 2007 c. 2). Le Tribunal fédéral a notamment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w:t>
      </w:r>
    </w:p>
    <w:p>
      <w:r>
        <w:t>- 18 - 4.3.2 En l’espèce, la prise en considération de la charge fiscale de l’appelant par le premier juge ne prête pas le flanc à la critique dans la mesure où elle concerne la situation du couple avant la naissance de l’enfant. En effet, le disponible du couple, se montant à quelque 600 fr. comme on le verra ci-dessous (c. 4.1.1), permet la prise en compte des impôts dans le minimum vital de l’appelant. Il en va en revanche différemment après la naissance de l’enfant, le budget des parties se trouvant grevé de nouvelles charges qui ne laissent subsister qu’un très faible disponible, comme cela ressort du c. 4.2.2 ci-dessous. Dans cette mesure, les impôts de l’appelant ne seront pas pris en considération pour la fixation de la contribution due pour l’entretien de l’épouse et de l’enfant dès le 1er septembre 2014. 4.4 En définitive, il y a lieu de distinguer, pour le calcul de la contribution d’entretien due par l’appelant, la période dès le 1er mai 2014 et celle dès le 1er septembre 2014, cette dernière correspondant à la naissance de l’enfant C.W.________. 4.4.1 Dès le 1er mai 2014, la situation matérielle des parties est la suivante : - Gain mensuel net époux fr. 6’425.40 Base mensuelle fr. 1’200.00 Loyer mensuel et charges fr. 1’870.00 Assurance-maladie fr. 312.75 Frais professionnels fr. 543.00 Totaux fr. 3'925.75 fr. 6'425.40 Excédent(+) / découvert (-) fr. (+)2'499.65 - Gain mensuel net épouse fr. 945.70 Base mensuelle fr. 1’200.00 Loyer mensuel et charges fr. 1’645.00 Totaux fr. 2'845.00 fr. 945.70 Excédent (+)/découvert (-) fr. (-) 1'899.30</w:t>
      </w:r>
    </w:p>
    <w:p>
      <w:r>
        <w:t>- 19 - Les parties disposent ainsi, après déduction des minima vitaux cumulés du couple, d’un disponible de 600 fr. 35 ([6'425.40 + 945.70] – [3'925.75 + 2'845.00]). Compte tenu de ce disponible, la charge fiscale du mari, se montant à 753 fr. 20 par mois, peut être prise en considération, de sorte que son disponible se monte à 1'746 fr. 45 (6'425 fr. 40 – 3'925.75 – 753.20). La contribution d’entretien, arrêtée par le premier juge à 1'700 fr. par mois, sera ainsi confirmée en ce qui concerne la pension à verser à l’épouse pour la période du 1er mai au 31 août 2014. 4.4.2 Dès le 1er septembre 2014, la situation matérielle des parties se présente comme suit : - Gain mensuel net époux fr. 6’425.40 Base mensuelle fr. 1’200.00 Droit de visite fr. 150.00 Loyer mensuel et charges fr. 1’870.00 Assurance-maladie fr. 312.75 Frais professionnels fr. 543.00 Totaux fr. 4’075.75 fr. 6'425.40 Excédent (+) / découvert (-) fr. (+)2'349.65 - Gain mensuel net épouse fr. 945.70 Base mensuelle fr. 1’350.00 Base mensuelle enfant (./. allocations familiales) fr. 170.00 Loyer mensuel et charges fr. 1’645.00 Totaux fr. 3’165.00 fr. 945.70 Excédent (+) / découvert (-) fr. (-) 2’219.30 Après couverture des minima vitaux des parties, le disponible du couple se monte à 130 fr. 35 ([6'425.40 + 945.70] – [4075.75 + 3165.00]), de sorte qu’il ne se justifie pas de prendre en considération la charge fiscale de l’appelant. En application de la méthode du minimum</w:t>
      </w:r>
    </w:p>
    <w:p>
      <w:r>
        <w:t>- 20 - vital avec répartition de l’excédent, l’épouse a droit à la couverture de son déficit, se montant à 2'219 fr. 30. La contribution due par l’appelant pour l’entretien des siens sera ainsi arrêtée à un montant arrondi de 2'200 fr., allocations familiales en sus, dès le 1er septembre 2014. Le disponible, par 149 fr. 70 (6'425.40 – 4'075.70 – 2'200.00), est attribué à l’appelant qui assume les arriérés d’impôts du couple, l’acompte mensuel de 753 fr. 20 étant versé dans le cadre du plan de recouvrement de l’impôt 2011. 4.5 Au vu de ce qui précède, il y a lieu de rejeter l’appel et de réformer, compte tenu de la naissance de l’enfant C.W.________, le chiffre II du dispositif de l’ordonnance de mesures protectrices de l’union conjugale en ce sens que la contribution d’entretien due par l’appelant est arrêtée à 1'700 fr. dès et y compris le 1er mai 2014 et à 2'200 fr., plus allocations familiales, à compter du 1er septembre 2014. 5. 5.1 En conclusion, l’appel est rejeté, l’ordonnance attaquée étant réformée dans le sens des considérants qui précèdent. 5.2 Les conditions de l’art. 117 CPC étant réunies, il y a lieu d’accorder à l’intimée le bénéfice de l’assistance judiciaire pour la procédure d’appel (cf. art. 119 al. 5 CPC), comprenant l’assistance d’un avocat en la personne de Me Adrien Gutowski. Dans son courrier du 8 octobre 2014, la Juge déléguée de céans a dispensé l’appelant de l’avance de frais, la décision définitive sur l’assistance judiciaire étant réservée. Le dispositif de la présente décision, communiqué le 17 novembre aux parties, fixe l’indemnité d’office de Me Philippe Baudraz, conseil de l’appelant, sans toutefois statuer sur l’octroi de l’assistance judiciaire à l’appelant. En application de l’art. 334 CPC, il y a lieu de procéder à la rectification d’office de ce dispositif et de le compléter par l’adjonction d’un chiffre IIIbis accordant à A.W.________ le bénéfice de l’assistance judiciaire, dès lors que les conditions de l’art. 117</w:t>
      </w:r>
    </w:p>
    <w:p>
      <w:r>
        <w:t>- 21 - CPC sont réunies, Me Philippe Baudraz étant désigné en qualité de conseil d’office. 5.3 Vu l’issue et la nature du litige ainsi que l’octroi de l’assistance judiciaire aux parties, les frais judiciaires de deuxième instance, arrêtés à 600 fr. (art. 65 al. 2 TFJC, tarif des frais judiciaires civils du 28 septembre 2010 ; RSV 270.11.5), seront répartis en équité à hauteur de 300 fr. pour l’appelant et de 300 fr. pour l’intimée et laissés à la charge de l’Etat (art. 107 al. 1 let. c, et 122 al. 1 let. b CPC). Les dépens de deuxième instance seront en outre compensés (art. 95 al. 3 et 107 al. 1 let. c CPC). 5.4 En sa qualité de conseil d’office de l’appelant A.W.________, Me Philippe Baudraz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7décembre 2010 ; RSV 211.02.03]). Dans son relevé des opérations du 11 novembre 2014, l’avocat indique avoir consacré 13.30 heures à ce mandat, dont 5 heures pour la rédaction de l’appel, 2.90 heures pour les correspondances et courriels, 0.70 heure pour les « mémos » ainsi que 3.50 heures pour l’audience, y compris sa préparation (1 heure) et la vacation. Compte tenu de la connaissance du dossier de première instance par le conseil d’office et de la relative simplicité de la cause, le temps consacré à la rédaction de l’appel apparaît exagéré et doit être réduit d’une heure. Il en va de même en ce qui concerne le temps consacré aux diverses correspondances, qui sera ramené à 2 heures. Par ailleurs, les avis de transmission ou « mémos » ne peuvent pas être pris en compte à titre d’activité déployée par l’avocat, s’agissant de pur travail de secrétariat (Juge unique CREP 2 juin 2014/379 c. 3b ; Juge unique CREP 6 mai 2014/310 c. 2b), ils seront donc retranchés du relevé des opérations. Enfin, le temps consacré à la préparation de l’audience apparaît excessif et sera pris en considération à concurrence de 0.50 heure. Au vu de ce qui précède et de la durée de</w:t>
      </w:r>
    </w:p>
    <w:p>
      <w:r>
        <w:t>- 22 - l’audience, par 1.50 heures, l’ensemble des opérations relatives à la procédure d’appel sera admis à concurrence de 10 heures de travail, de sorte que l’indemnité d’office de Me Philippe Baudraz doit être arrêtée à 1'800 fr. pour ses honoraires (10 x 180 fr. ; art. 2 al. 1 let. a RAJ). S’agissant des débours, l’avocat indique un montant de 174 fr. 20. Les photocopies sont comprises dans les frais généraux et doivent être exclues des débours (CREC 14 novembre 2013/377). On s’en tiendra dès lors à un forfait de 50 francs. L’indemnité totale de l’avocat Philippe Baudraz est ainsi arrêtée à 1'998 fr., soit 1'850 fr. pour ses honoraires et débours, TVA par 148 fr., en sus. Me Adrien Gutovski a produit une liste des opérations indiquant qu’il a consacré 9.90 heures à la procédure d’appel. Ce décompte apparaît correct de sorte que son indemnité d’office sera arrêtée à 1'800 fr. pour ses honoraires (10 x 180 fr.), plus un montant forfaitaire de 50 fr. pour ses débours, TVA par 8% en sus, soit une indemnité totale de 1'998 francs. Les bénéficiaires de l’assistance judiciaire sont tenus, dans la mesure de l’art. 123 CPC, au remboursement des frais judiciaires et de l’indemnité à leur conseil d’office, mis à la charge de l’Etat. Par ces motifs, la Juge déléguée de la Cour d’appel civile du Tribunal cantonal, statuant à huis clos, prononce : I. L’appel est rejeté. II. L’ordonnance est réformée comme il suit au chiffre II de son dispositif : II. dit que A.W.________ contribuera à l’entretien de son épouse par le régulier versement d’une pension mensuelle, payable d’avance le premier de chaque</w:t>
      </w:r>
    </w:p>
    <w:p>
      <w:r>
        <w:t>- 23 - mois en mains de son épouse, de 1'700 fr. (mille sept cent francs) dès et y compris le 1er mai 2014. II bis. dit que A.W.________ contribuera à l’entretien des siens par le régulier versement d’une pension mensuelle, payable d’avance le premier de chaque mois en mains de son épouse, de 2'200 fr. (deux mille deux cents francs), allocations familiales en sus, dès le 1er septembre 2014. L’ordonnance est confirmée pour le surplus. III. La requête d’assistance judiciaire de l’intimée B.W.________ est admise, Me Adrien Gutowski étant désigné conseil d’office avec effet au 15 octobre 2014 dans la procédure d’appel. IIIbis. La requête d’assistance judiciaire de l’appelant A.W.________ est admise, Me Philippe Baudraz étant désigné conseil d’office avec effet au 6 octobre 2014 dans la procédure d’appel. IV. Les frais judiciaires de deuxième instance, arrêtés à 300 fr. (trois cents francs) pour l’appelant A.W.________ et à 300 fr. (trois cents francs) pour l’intimée B.W.________, sont laissés à la charge de l’Etat. V. Les dépens de deuxième instance sont compensés. VI. L’indemnité d’office de Me Philippe Baudraz, conseil de l’appelant A.W.________, est arrêtée à 1'998 fr. (mille neuf cent nonante-huit francs), TVA et débours compris. VII. L’indemnité d’office de Me Adrien Gutowski, conseil de B.W.________, est arrêtée à 1'998 fr. (mille neuf cent nonante- huit francs), TVA et débours compris. VIII. Les bénéficiaires de l’assistance judiciaire sont, dans la mesure de l’art. 123 CPC, tenus au remboursement des frais judiciaires</w:t>
      </w:r>
    </w:p>
    <w:p>
      <w:r>
        <w:t>- 24 - et de l’indemnité à leur conseil d’office, mis à la charge de l’Etat. IX. L’arrêt motivé est exécutoire. La juge déléguée : Le greffier : Du 17 novembre 2014 Le dispositif de l'arrêt qui précède est communiqué par écrit aux intéressés. Le greffier : Du L'arrêt qui précède, dont la rédaction a été approuvée à huis clos, est notifié en expédition complète, par l'envoi de photocopies à : - Me Philippe Baudraz (pour A.W.________), - Me Adrien Gutowski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