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JS14.020775 vom 13. Juli 2016</w:t>
      </w:r>
    </w:p>
    <w:p>
      <w:r>
        <w:t>VD Tribunal cantonal, 2016-07-13, FR</w:t>
      </w:r>
    </w:p>
    <w:p>
      <w:r>
        <w:rPr>
          <w:b/>
        </w:rPr>
        <w:t xml:space="preserve">Quelle: </w:t>
      </w:r>
      <w:r>
        <w:t>https://mcp.opencaselaw.ch/entscheid/vd_gerichte_JS14.020775</w:t>
      </w:r>
    </w:p>
    <w:p>
      <w:r>
        <w:t>FR: VD_GERICHTE JS14.020775 du 13 juillet 2016</w:t>
      </w:r>
    </w:p>
    <w:p>
      <w:r>
        <w:t>IT: VD_GERICHTE JS14.020775 del 13 luglio 2016</w:t>
      </w:r>
    </w:p>
    <w:p>
      <w:pPr>
        <w:pStyle w:val="Heading2"/>
      </w:pPr>
      <w:r>
        <w:t>Erwägungen</w:t>
      </w:r>
    </w:p>
    <w:p>
      <w:r>
        <w:rPr>
          <w:b/>
        </w:rPr>
        <w:t>E. 14</w:t>
      </w:r>
    </w:p>
    <w:p>
      <w:r>
        <w:t>mars 2011/12 consid. 2, JdT 2011 III 43). 3. L’appelant conteste uniquement le dies a quo de la modification de la contribution d’entretien, fixé par le premier juge au jour d’entrée en force de l’ordonnance de mesures protectrices de l’union conjugale. Il soutient que la modification ordonnée devait déployer ses effets dès le 1er décembre 2015. 3.1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ATF 129 III 60 consid. 2; TF 5A_544/2015 du 9 février 2016 consid. 2.1; TF 5A_572/2015 du 8 octobre 2015 consid. 4.2; TF 5A_56/2015 du 10 septembre 2015 consid. 3.1; TF 5A_155/2015 du 18 juin 2015 consid. 3.1; TF 5A_138/2015 du 1er avril 2015 consid. 3.1 et les références). Le moment déterminant pour apprécier si des circonstances nouvelles se sont produites est la date du dépôt de la demande de modification (ATF 137 III 604 consid. 4.1.1; ATF 120 II 285 consid. 4b; TF 5A_544/2015 du 9 février 2016 consid. 2.1; TF 5A_56/2015 du 10 septembre 2015 consid. 3.1).</w:t>
      </w:r>
    </w:p>
    <w:p>
      <w:r>
        <w:t>- 7 -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Il 103 consid. 4; TF 5A_501/2015 du 12 janvier 2016 consid. 4.1; TF 5A_274/2015 du 25 août 2015 consid. 3.5; TF 5A_681/2014 du 14 avril 2015 consid. 4.3; TF 5A_597/2013 du 4 mars 2014 consid. 3.1; TF 5A_340/2008 du 12 août 2008 consid. 5 et les références). Il se justifie éventuellement de déroger à ces principes lorsqu'on exige d'une partie un changement de ses conditions de vie, en sorte que l'effet de la modification peut être fixé à une date ultérieure à celle de l'entrée en force formelle du nouveau prononcé (TF 5A_501/2015 du 12 janvier 2016 consid. 4.1 ; TF 5A_101/2013 du 25 juillet 2013 consid. 3.1; TF 5P.388/2003 du 7 janvier 2004 consid. 1.1, publié in Pra 2004 n° 96 p. 554 et in FamPra.ch 2004 p. 409, avec les citations). 3.2 En l'espèce, la requête tendant à la modification de l’ordonnance de mesures protectrices de l'union conjugale du 19 juin 2015 a été déposée le</w:t>
      </w:r>
    </w:p>
    <w:p>
      <w:r>
        <w:rPr>
          <w:b/>
        </w:rPr>
        <w:t>E. 17</w:t>
      </w:r>
    </w:p>
    <w:p>
      <w:r>
        <w:t>décembre 2015. L’ordonnance est confirmée pour le surplus. III. Les dépens sont compensés. IV. L’indemnité de Me Raphaël Tati, conseil d’office d’A.F.________, est arrêtée à 611 fr. 30 (six cent onze francs et trente centimes), TVA et débours inclus. V. Le bénéficiaire de l’assistance judiciaire est, dans la mesure de l’art. 123 CPC, tenu au remboursement de l’indemnité de son conseil d'office mise à la charge de l'Etat. VI. Le présent arrêt, rendu sans frais, est exécutoire.</w:t>
      </w:r>
    </w:p>
    <w:p>
      <w:r>
        <w:t>- 10 - Le juge délégué : La greffière : Du Le présent arrêt, dont la rédaction a été approuvée à huis clos, est notifié en expédition complète à : - Me Raphaël Tati (pour A.F.________), - Me Hüsnü Ylmaz (pour B.F.________), et communiqué, par l'envoi de photocopies, à : - Mme la Présidente du Tribunal civil de l’arrondissement de Lausanne. Le juge délégué de la Cour d’appel civile considère que la valeur litigieuse est inférieure à 30’000 francs.</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