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JS14.018851 vom 29. September 2016</w:t>
      </w:r>
    </w:p>
    <w:p>
      <w:r>
        <w:t>VD Tribunal cantonal, 2016-09-29, FR</w:t>
      </w:r>
    </w:p>
    <w:p>
      <w:r>
        <w:rPr>
          <w:b/>
        </w:rPr>
        <w:t xml:space="preserve">Quelle: </w:t>
      </w:r>
      <w:r>
        <w:t>https://mcp.opencaselaw.ch/entscheid/vd_gerichte_JS14.018851</w:t>
      </w:r>
    </w:p>
    <w:p>
      <w:r>
        <w:t>FR: VD_GERICHTE JS14.018851 du 29 septembre 2016</w:t>
      </w:r>
    </w:p>
    <w:p>
      <w:r>
        <w:t>IT: VD_GERICHTE JS14.018851 del 29 settembre 2016</w:t>
      </w:r>
    </w:p>
    <w:p>
      <w:pPr>
        <w:pStyle w:val="Heading2"/>
      </w:pPr>
      <w:r>
        <w:t>Erwägungen</w:t>
      </w:r>
    </w:p>
    <w:p>
      <w:r>
        <w:rPr>
          <w:b/>
        </w:rPr>
        <w:t>E. 3.1</w:t>
      </w:r>
    </w:p>
    <w:p>
      <w:r>
        <w:t>L’appelant soutient que le premier juge aurait apprécié les faits de manière erronée en lui imputant un revenu hypothétique. Il invoque que les certificats médicaux qu’il a produits attesteraient qu’il est durablement incapable de travailler, de sorte qu’il ne pourrait plus s’acquitter des contributions d’entretien envers son épouse et ses deux enfants.</w:t>
      </w:r>
    </w:p>
    <w:p>
      <w:r>
        <w:rPr>
          <w:b/>
        </w:rPr>
        <w:t>E. 3.2</w:t>
      </w:r>
    </w:p>
    <w:p>
      <w:r>
        <w:t>Pour fixer la contribution d’entretien, le juge doit en principe tenir compte du revenu effectif des parties. Il peut néanmoins imputer à l’une comme à l’autre un revenu hypothétique. De façon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pourvoir à son propre entretien (ATF 128 III 4 consid. 4a ; TF 5A_290/2010 du 28 octobre 2010 consid. 3.1, publié in SJ 2011 I 177).</w:t>
      </w:r>
    </w:p>
    <w:p>
      <w:r>
        <w:t>- 7 - Le juge qui détermine un revenu hypothétique doit d’abord déterminer si l'on peut raisonnablement exiger d'une personne qu'elle exerce une activité lucrative,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notamment se baser sur l'enquête suisse sur la structure des salaires, réalisée par l'Office fédéral de la statistique (ATF 137 III 118 consid. 3.2, JdT 2011 II 486 ; TF 5A_933/2015 du 23 février 2016 consid. 6.1).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 TF 5A_612/2011 du 27 février 2012 consid. 2.1 ; TF 5A_679/2011 du 10 avril 2012 consid.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consid. 4.1.1 ; TF 5A_587/2013 du 26 novembre 2013 consid. 6.1.1 ; TF 5A_120/2014 du 2 septembre 2014 consid. 4.1 ; TF 5A_318/2014 du 2 octobre 2014 consid. 3.1.3.2). Dans cette hypothèse, le fait que le débiteur ne peut pas revenir en arrière et modifier son revenu réalisé dans</w:t>
      </w:r>
    </w:p>
    <w:p>
      <w:r>
        <w:t>- 8 - le passé n’empêche pas la prise en compte rétroactive d’un revenu hypothétique (TF 5A_184/2015 du 22 janvier 2016 consid. 3.4). L’absence de prestations de l’assurance-invalidité constitue un indice que l’intéressé conserve une capacité de gain résiduelle (TF 5A_248/2011 du 14 novembre 2011 consid. 4.3, in FamPra.ch. 2012 p. 500). Il en va de même de l'absence d'une demande de prestations de l'assurance-invalidité (TF 5A_522/2011 du 18 janvier 2012 consid. 4.3 ; TF 5A_251/2016 du 15 août 2016 consid. 2.3.1).</w:t>
      </w:r>
    </w:p>
    <w:p>
      <w:r>
        <w:rPr>
          <w:b/>
        </w:rPr>
        <w:t>E. 3.3</w:t>
      </w:r>
    </w:p>
    <w:p>
      <w:r>
        <w:t>En l’espèce, le premier juge a retenu que les explications fournies par l’appelant quant à son incapacité de travail étaient évasives et peu fiables et que les certificats médicaux produits ne démontraient pas que son incapacité était durable. L’appelant soutient quant à lui que, dans la mesure où cela fait huit mois qu’il ne travaille pas et qu’il est au bénéfice de certificats médicaux, il serait durablement incapable de travailler « pour l’instant ». Le rapport médical établi le 12 juillet 2016 produit par l’appelant fait état d’un trouble dépressif récurrent moyen. Selon la définition que l’appelant donne lui-même dans son acte, ce trouble est provisoire et si le patient est soigné, la durée de l’épisode dépressif est plus courte. Or, il ressort du rapport médical que l’appelant suit un traitement d’antidépresseurs. Au vu de ce qui précède, l’incapacité de travail de A.________ n’est donc pas durable. En l’espèce, l’appelant a déclaré qu’il en « avait marre de travailler » sur les chantiers. C’est donc par pure convenance personnelle qu’il a cessé son activité d’étancheur. Il a en outre déclaré qu’il souhaitait exercer la profession de tatoueur. Dès lors, dans la mesure où l’appelant souhaite exercer une autre activité et qu’il n’a pas déposé de demande AI, il se définit lui-même comme étant apte au travail. Au surplus, aucun certificat médical ne détaille les raisons pour lesquelles l’appelant serait incapable d’exercer la profession d’étancheur. Au demeurant, ce dernier</w:t>
      </w:r>
    </w:p>
    <w:p>
      <w:r>
        <w:t>- 9 - n’a entrepris aucune démarche sérieuse afin de trouver un travail ou de se reconvertir dans une activité qui lui procurerait des revenus équivalents à son activité précédente. En lieu et place, l’appelant souhaite se lancer dans une activité qui ne lui apportera vraisemblablement que peu, sinon pas de revenus et cela, au détriment des besoins de sa famille. En définitive, c’est à bon droit que le premier juge a retenu que l’appelant bénéficie d’une capacité contributive permettant d’honorer les pensions mises à sa charge par 2'870 fr., et qu’il a retenu un revenu hypothétique égal à l’activité qu’il effectuait antérieurement.</w:t>
      </w:r>
    </w:p>
    <w:p>
      <w:r>
        <w:rPr>
          <w:b/>
        </w:rPr>
        <w:t>E. 4.1</w:t>
      </w:r>
    </w:p>
    <w:p>
      <w:r>
        <w:t>En conclusion, l’appel, manifestement infondé, doit être rejeté selon le mode procédural de l’art. 312 al. 1 CPC et l’ordonnance confirmée.</w:t>
      </w:r>
    </w:p>
    <w:p>
      <w:r>
        <w:rPr>
          <w:b/>
        </w:rPr>
        <w:t>E. 4.2</w:t>
      </w:r>
    </w:p>
    <w:p>
      <w:r>
        <w:t>Compte tenu de ce qui précède, il y a également lieu de considérer que l’appel était dénué de chance de succès au sens de l’art. 117 let. b CPC. Le bénéfice de l’assistance judiciaire doit donc être refusé à A.________.</w:t>
      </w:r>
    </w:p>
    <w:p>
      <w:r>
        <w:rPr>
          <w:b/>
        </w:rPr>
        <w:t>E. 4.3</w:t>
      </w:r>
    </w:p>
    <w:p>
      <w:r>
        <w:t>Les frais judiciaires de deuxième instance, arrêtés à 600 fr. (art. 65 al. 2 TFJC [tarif des frais judiciaires civils du 28 septembre 2010 ; RSV 270.11.5]), sont mis à la charge de l’appelant, qui succombe (art. 106 al. 1 CPC).</w:t>
      </w:r>
    </w:p>
    <w:p>
      <w:r>
        <w:rPr>
          <w:b/>
        </w:rPr>
        <w:t>E. 4.4</w:t>
      </w:r>
    </w:p>
    <w:p>
      <w:r>
        <w:t>L’intimée n’ayant pas été invitée à se déterminer sur l’appel, il n’y a pas lieu de lui allouer des dépens de deuxième instance.</w:t>
      </w:r>
    </w:p>
    <w:p>
      <w:r>
        <w:t>- 10 - Par ces motifs, le juge délégué de la Cour d’appel civile prononce : I. L’appel est rejeté. II. L’ordonnance est confirmée. III. La requête d’assistance judiciaire est rejetée. IV. Les frais judiciaires de deuxième instance, arrêtés à 600 fr. (six cents francs) sont mis à la charge de A.________. V. L’arrêt motivé est exécutoire. Le juge délégué : La greffière : Du 30 septembre 2016 Le dispositif du présent arrêt est communiqué par écrit aux intéressés. La greffière : Du Le présent arrêt, dont la rédaction a été approuvée à huis clos, est notifié en expédition complète à :</w:t>
      </w:r>
    </w:p>
    <w:p>
      <w:r>
        <w:t>- 11 - - Me Cédric Thaler (pour A.________), - Me Caroline Fauquex-Gerber (pour N.________),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