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JS14.012170 vom 4. März 2015</w:t>
      </w:r>
    </w:p>
    <w:p>
      <w:r>
        <w:t>VD Tribunal cantonal, 2015-03-04, FR</w:t>
      </w:r>
    </w:p>
    <w:p>
      <w:r>
        <w:rPr>
          <w:b/>
        </w:rPr>
        <w:t xml:space="preserve">Quelle: </w:t>
      </w:r>
      <w:r>
        <w:t>https://mcp.opencaselaw.ch/entscheid/vd_gerichte_JS14.012170</w:t>
      </w:r>
    </w:p>
    <w:p>
      <w:r>
        <w:t>FR: VD_GERICHTE JS14.012170 du 4 mars 2015</w:t>
      </w:r>
    </w:p>
    <w:p>
      <w:r>
        <w:t>IT: VD_GERICHTE JS14.012170 del 4 marzo 2015</w:t>
      </w:r>
    </w:p>
    <w:p>
      <w:pPr>
        <w:pStyle w:val="Heading2"/>
      </w:pPr>
      <w:r>
        <w:t>Erwägungen</w:t>
      </w:r>
    </w:p>
    <w:p>
      <w:r>
        <w:rPr>
          <w:b/>
        </w:rPr>
        <w:t>E. 15</w:t>
      </w:r>
    </w:p>
    <w:p>
      <w:r>
        <w:t>retenu par le premier juge sur la base de son certificat de salaire 2013</w:t>
      </w:r>
    </w:p>
    <w:p>
      <w:r>
        <w:t>- 18 - ([salaire annuel brut : 363'395 fr. ./. charges sociales annuelles : 27'355 fr. 15] : 12) est manifestement inexact. Elle se prévaut à cet égard des fiches de salaire des mois d’août, septembre et octobre 2014, qui font état d’un salaire net de 18'087 fr. 30 pour les deux premiers mois cités et de 19'395 fr. 70 pour les mois d’octobre 2014. 4.2.2 Le revenu déterminant pour la fixation de la contribution d'entretien est le revenu effectif ou effectivement réalisable, soit s'agissant des revenus du travail, le revenu net, cotisations sociales déduites. Le revenu net du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4e éd., no 982, p. 571 note infrapaginale 2118; Chaix, Commentaire romand, Code civil I, n. 7 ad art. 176 CC).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4.2.3 En l’occurrence, il n’y a pas lieu de se fonder sur les fiches mensuelles de salaire produites en appel qui, pour autant que recevables, ne comprennent que la part fixe du salaire de l’appelante. Or, il ressort de son certificat de salaire 2013 que l’appelante a perçu, outre son salaire, une allocation de 6'922 fr. à titre de part privée pour son véhicule professionnel, un montant de 27'421 fr. à titre de bonus, ainsi qu’un montant de 76’001 fr. à titre de droit de participation (stock options), soit un revenu net de 328'262 fr. par année ou 27'355 fr. par mois. A l’audience d’appel, elle a expliqué que son salaire fixe n’avait pas varié entre 2014 et 2015, mais que sa performance avait considérablement</w:t>
      </w:r>
    </w:p>
    <w:p>
      <w:r>
        <w:t>- 19 - baissé depuis mars 2013, en raison de ses difficultés conjugales et ses soucis de santé. Elle a précisé que la perte de gain avait couvert la part fixe de son salaire durant ses absences pour cause de maladie, mais qu’elle ne pouvait compenser un baisse de performance, et par conséquent une baisse éventuelle du bonus. Elle a indiqué qu’elle avait touché en 2014 un bonus d’environ 24'000 à 25'000 fr. en relation avec ses performances 2013 et que le bonus 2015, en relation avec ses performances 2014, s’était monté à environ 25'000 francs. Elle a encore indiqué qu’elle n’avait pas touché de stocks options en 2014 pour l’année 2013 mais qu’il lui en avait été alloué en 2015 pour l’année 2014. Elle ne pouvait pas dire quel était le montant, mais il se montait approximativement à la moitié de ce qu’elle avait reçu pour les années 2012 et précédentes, soit environ 100'000 fr. pour ces années-là. C’est dès lors à juste titre que le premier juge a pris en considération le revenu annuel net ressortant du certificat de salaire établi par son employeur, le bonus touché en 2013 ne présentant pas, quoi qu’en dise l’appelante, de variation notable par rapport à ceux touchés en 2014 et 2015, et le juge n’étant pas en mesure de procéder à une estimation moyenne de ce bonus sur plusieurs années, les certificats 2011 et 2012 s’avérant irrecevables. Pour les mêmes motifs, on s’en tiendra, en ce qui concerne les droits de participation, au montant ressortant du certificat de salaire 2013. En définitive, c’est donc un montant de 27'355 fr. par mois qui sera pris en compte à titre de revenu de l’épouse. 4.3 4.3.1. L’appelante conteste ensuite l’estimation des revenus de l’intimé. Elle soutient que le premier juge aurait dû prendre en compte les bénéfices réalisés par la société [...], dont le mari est l’actionnaire unique, peu important à cet égard qu’il ait fait le choix de renoncer à la perception de ces bénéfices et de les reporter pour des raisons d’optimisation fiscale.</w:t>
      </w:r>
    </w:p>
    <w:p>
      <w:r>
        <w:t>- 20 - 4.3.2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p. 678 et les références). A cet égard, la jurisprudence préconise de prendre en considération comme revenu effectif le bénéfice net moyen du compte d'exploitation des trois ou quatre dernières années (Bastons Buletti, L'entretien après divorce: méthodes de calcul, montant, durée et limites, SJ 2007 II 80 note infrapaginale 19; TF 5A_ 246/2009 du 22 mars 2010 c. 3.1., FamPra.ch. 2010 p. 678; TF 5P_342/2001 du 20 décembre 2001 c. 3a). Plus les fluctuations de revenus sont importantes et les données fournies par l'intéressé sont incertaines, plus la période de comparaison doit être longue (TF 5A_246/2009 précité c. 3.1 et la référence; TF 5A_259/2012 du 14 novembre 2012 c. 4.1, SJ 2013 I 451; TF 5A_396/2013 du 26 février 2014 c. 3.2.1). 4.3.3 En l’espèce, le premier juge aurait effectivement dû prendre en considération les revenus tirés de l’exploitation de la société [...], dès lors que le mari en est l’actionnaire unique et que le bénéfice net tiré de l’activité de cette société est assimilable à un revenu, au même titre que le dividende perçu par les actionnaires d’une société anonyme. L’intimé a d’ailleurs confirmé en audience d’appel que le prélèvement du bénéfice aurait été possible. Cela étant, la société [...] a réalisé un bénéfice net de 22'391 fr. en 2011, 10'796 fr. en 2012, 2'729 fr. en 2013 et 20'385 fr. en 2014, soit un revenu moyen de 14'075 fr. par année ou de 1'175 fr. par mois. Ce revenu sera ajouté aux pensions que touche l’intimé à hauteur de 3'096 fr.</w:t>
      </w:r>
    </w:p>
    <w:p>
      <w:r>
        <w:rPr>
          <w:b/>
        </w:rPr>
        <w:t>E. 20</w:t>
      </w:r>
    </w:p>
    <w:p>
      <w:r>
        <w:t>par mois, ses revenus mensuels s’élevant ainsi à un montant arrondi de 4'270 fr. par mois. 4.4 4.4.1 L’appelante fait encore valoir que la société [...] prendrait en charge de nombreux frais personnels de son mari, notamment tous ses déplacements qu’il passerait sous frais de représentation, si bien que ces</w:t>
      </w:r>
    </w:p>
    <w:p>
      <w:r>
        <w:t>- 21 - dépenses personnelles devraient être pris en compte en tant que revenus de l’intimé. Elle estime que les comptes produits ne permettaient pas au premier juge de retenir que l’intimé n’avait pas opéré de déduction de ses charges privées dans les comptes de la société. 4.4.2 En matière de mesures protectrices, le juge doit s'en tenir à la vraisemblance des faits allégués et une expertise comptable est exclue (Chaix. Commentaire romand, n. 7 ad art. 176 CC; Juge délégué CACI 25 août 2011/211), des moyens de preuves coûteux devant être en principe évités (TF 5A_813/2013 du 12 mai 2014 c. 4.3).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Juge délégué CACI 24 décembre 2014/636). 4.4.3 Les pièces financières et comptables produites par l’intimé conformément aux réquisitions de l’appelante (cf. c. 3.3 supra) ne permettent en l’état pas de conclure à l’existence de dépenses privées financées par le biais de la [...]. Conformément à la maxime des débats applicable en deuxième instance, il n’y a pas lieu d’instruire d’office au- delà des faits déjà au dossier. Cela étant, interrogé à l’audience d’appel conformément à l’art. 191 CPC, l’intimé a indiqué que les montants portés en déduction du chiffre d’affaires net de cette société (582'956 SEK en 2013 et 779'725 SEK en 2012, cf. p. 2 de l’annexe 1 au courrier du 17 juillet 2014 du conseil de l’intimé) correspondaient à l’achat de matières premières en Allemagne, ainsi qu’à des frais relatifs au loyer, au nettoyage, etc. Il a en outre indiqué qu’il utilisait la carte de crédit [...] de [...] pour ses frais d’essence mais que ces montants étaient remboursés. Il ressort en outre de la réponse du 23 janvier 2015 de l’intimé (p. 4) que les règles comptables en Suède sont excessivement strictes en ce qui</w:t>
      </w:r>
    </w:p>
    <w:p>
      <w:r>
        <w:t>- 22 - concerne la prise en charge de frais personnels par les sociétés à actionnaire unique. En l’occurrence, la comptabilité a été contrôlée par un réviseur en Suède et acceptée par l’autorité fiscale. On ne aurait dès lors reprocher au premier juge d’avoir retenu, au stade des mesures protectrices de l’union conjugale, que l’intimé ne tirait de la société [...] pas d’autre revenu que le bénéfice net réalisé chaque année, aucun élément ne justifiant en l’état de s’écarter des montants ressortant à ce titre de la comptabilité produite par l’intimé. 4.5 L’appelante conteste enfin les charges de l’intimé. Elle soutient que le premier juge a fait une appréciation erronée des faits en retenant que le montant de base pour une personne vivant seule en Suisse pouvait valablement servir de base pour estimer le montant des charges de l’intimé, dès lors que celui-ci ne vivrait plus en Suisse depuis 2013. A l’audience d’appel, l’intimé a expliqué qu’il n’avait pas de domicile fixe en Suisse et qu’il vivait chez des amis en France voisine ou en Suisse, son domicile légal se trouvant toujours à [...]. Il a ajouté qu’il se rendait en Suède environ une fois par mois, sa société louant depuis février 2014 des bureaux à [...], [...]. En l’état, rien ne permet dès lors de retenir que l’intimé aurait quitté la Suisse depuis 2013 et qu’il serait à nouveau établi en Suède. Ce grief sera ainsi rejeté. 5. 5.1 L’appelante reproche au premier juge d’avoir appliqué l’art. 176 al. 1 ch. 1 CC de façon incorrecte en retenant qu’une contribution d’entretien était due à l’intimé. Elle fait valoir qu’il n’a pas rendu vraisemblable le montant effectif de ses charges. 5.2 5.2.1 Aux termes de l’art. 176 al. 1 ch. 1 CC, le juge fixe la contribution pécuniaire à verser par l’une des parties à l’autre.</w:t>
      </w:r>
    </w:p>
    <w:p>
      <w:r>
        <w:t>- 23 - En cas de suspension de la vie commune selon l'art. 175 CC - comme d'ailleurs selon l'art. 137 CC (mesures provisoires durant la procédure de divorce) -, c'est-à-dire tant que perdure le mariage, mari et femme contribuent, chacun selon ses facultés, à l'entretien convenable de la famille (art. 163 al. 1 CC). Chacun des époux a le droit de participer de façon identique au train de vie antérieur (ATF 119 II 314 c. 4b/aa). Le montant de la contribution d'entretien due selon l'art. 176 al. 1 ch. 1 CC se détermine en fonction des facultés économiques et des besoins respectifs des conjoints. Le législateur n'a pas arrêté de méthode de calcul à cette fin. En cas de très bonnes situations économiques, dans lesquelles les frais supplémentaires liés à l'existence de deux ménages peuvent être couverts, l'époux créancier peut prétendre à ce que la pension soit fixée de façon telle que son train de vie antérieur soit maintenu. La comparaison des revenus et des minima vitaux est alors inopportune; il faut se fonder sur les dépenses nécessaires au maintien de ce train de vie (TF 5P.138/2001 du 10 juillet 2001 c. 2a/bb, FamPra.ch 2002 p. 333). Il incombe au créancier de la contribution de préciser les dépenses nécessaires à son train de vie et de les rendre vraisemblables (ATF 115 II 424 c. 2). En cas de situation financière favorable, il convient ainsi de se fonder sur les dépenses indispensables au maintien du train de vie antérieur, qui constitue la limite supérieure du droit à l’entretien (ATF 121 I 97 c. 3b ; TF 5A_205/2010 du 12 juillet 2010 c. 4.2.3, publié in FamPra.ch 2010 p. 894). 5.2.2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 6.1.3 ; TF 5A_591/2011 du 7 décembre 2011 c. 4.1.2).</w:t>
      </w:r>
    </w:p>
    <w:p>
      <w:r>
        <w:t>- 24 - 5.3 En l’espèce, le premier juge a considéré que compte tenu des revenus réalisés par les parties, en particulier par l’appelante, l’intimé pouvait prétendre au maintien du train de vie dont il avait bénéficié, en Suisse, durant la vie commune. Sa conclusion, tendant au versement d’une contribution d’entretien à hauteur de 8'000 fr., n’étant toutefois en rien étayée, c’est à juste titre que la juridiction de première instance a procédé à une estimation de ces charges sur la base de celles qui prévalaient jusqu’à la séparation et qui ont été portées à sa connaissance par l’appelante. Interpellé à l'audience d'appel, l'intimé a persisté à donner des informations très vagues sur le logement dont il disposait ou sur les dépenses courantes qu'il pouvait avoir dans le cadre de son existence actuelle. Il n'a pas non plus été en mesure de soumettre ne serait-ce qu'un budget relatif à ses charges, quand bien même le Juge délégué de la Cour de Céans l'a questionné expressément sur ce point. L’intimé n’ayant pas rendu vraisemblable son train de vie, on s’en tiendra, à défaut d’éléments plus précis, aux charges essentielles de l’appelante qui sont les suivantes : - minimum vital fr. 1'200.00 - intérêts hypothécaires fr. 1'210.75 - charges courantes du logement fr. 750.00 - frais d’entretien du logement fr. 2'000.00 - assurance-maladie fr. 374.30 - autres frais médicaux fr. 500.00 - impôts fr. 9'016.65 Total fr. 15'051.70 Il n’y a pas lieu de tenir compte de l’amortissement de la dette hypothécaire, qui ne sert pas à l’entretien, mais à la constitution de fortune. Compte tenu des revenus du couple (27'355 fr. pour l’épouse, 4'285 fr. pour le mari), l’intimé peut prétendre au maintien de son train de vie antérieur, qu’il y a donc lieu d’arrêter sur la base des charges retenues pour l’appelante comme suit :</w:t>
      </w:r>
    </w:p>
    <w:p>
      <w:r>
        <w:t>- 25 - - minimum vital fr. 1'200.00 - frais de logement (1’210.75 + 750.00 + 2'000.00) fr. 3'960.75 - assurance-maladie fr. 344.50 - loisirs, voyages, etc fr. 500.00 Total fr. 6'005.25 Pour le surplus, l’intimé a échoué à démontrer la vraisemblance des charges alléguées à hauteur de 8'000 fr. par mois. Dès lors qu’il réalise un revenu mensuel de 4'270 fr., l’appelante devra contribuer à l’entretien de son mari par le versement d’une pension d’un montant arrondi de 1'750 fr. par mois (6'005.25 – 4’285), dès et y compris le 1er mai 2014. 6. En conclusion, l’appel doit être partiellement admis et le chiffre I du prononcé de mesures protectrices de l’union conjugale réformé dans le sens du considérant qui précède. Les frais judiciaires de deuxième instance sont arrêtés à 1'200 fr. pour l’émolument de décision (art. 65 al. 2 et al. 4 TFJC [tarif des frais judiciaires civils du 28 septembre 2010 ; RSV 270.11.5]) et à 217 fr. 50 pour les frais d’interprète, le solde des honoraires d’interprète, par 65 fr. 20, étant laissés à la charge de l’Etat. Vu l’issue et la nature du litige, les frais judiciaires de deuxième instance, par 1'417 fr. 50, seront répartis par moitié entre les parties (art. 106 al. 2 et art. 107 al. 1 let. c CPC) ; l’intimé versera à l’appelante la somme de 491 fr. 25 ([1'417.50 : 2] – 217.50) à titre de restitution partielle d’avance de frais (art. 111 al. 2 CPC). Au vu de l'issue de la cause, les dépens de deuxième instance seront en outre compensés (art. 95 al. 3 et 107 al. 1 let. c CPC).</w:t>
      </w:r>
    </w:p>
    <w:p>
      <w:r>
        <w:t>- 26 - Par ces motifs, le Juge délégué de la Cour d’appel civile du Tribunal cantonal, statuant à huis clos, prononce : I. L’appel de Y.________ est partiellement admis. II. Le prononcé est réformé comme il suit : I. Dit que Y.________, née [...] contribuera à l’entretien de B.________ par le régulier versement d’une pension mensuelle de 1'750 fr. (mille sept cent cinquante francs), payable d’avance le premier de chaque mois, dès et y compris le 1er mai 2014 ; Le prononcé est confirmé pour le surplus. III. Les frais judiciaires de deuxième instance, arrêtés à 1'417 fr. 50 (mille quatre cent dix-sept francs et cinquante centimes), sont mis à la charge de l’appelante Y.________ à concurrence de 708 fr. 75 (sept cent huit francs et septante-cinq centimes) et à la charge de l’intimé B.________ à concurrence de 708 fr. 75 (sept cent huit francs et septante-cinq centimes). IV. L’intimé B.________ doit verser à l’appelante Y.________ la somme de 491 fr. 25 (quatre cent nonante-et-un francs et vingt-cinq centimes) à titre de restitution partielle d’avance de frais. V. Les dépens de deuxième instance sont compensés. VI. L’arrêt motivé est exécutoire Le juge délégué : Le greffier :</w:t>
      </w:r>
    </w:p>
    <w:p>
      <w:r>
        <w:t>- 27 - Du 10 mars 2015 Le dispositif de l'arrêt qui précède est communiqué par écrit aux intéressés. Le greffier : Du L'arrêt qui précède, dont la rédaction a été approuvée à huis clos, est notifié en expédition complète, par l'envoi de photocopies à : - Me Susannah Maas Antamoro de Cespedes (pour Y.________), - Me Astrid von Bentivegni Schaub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