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JS14.003229 vom 31. März 2016</w:t>
      </w:r>
    </w:p>
    <w:p>
      <w:r>
        <w:t>VD Tribunal cantonal, 2016-03-31, FR</w:t>
      </w:r>
    </w:p>
    <w:p>
      <w:r>
        <w:rPr>
          <w:b/>
        </w:rPr>
        <w:t xml:space="preserve">Quelle: </w:t>
      </w:r>
      <w:r>
        <w:t>https://mcp.opencaselaw.ch/entscheid/vd_gerichte_JS14.003229</w:t>
      </w:r>
    </w:p>
    <w:p>
      <w:r>
        <w:t>FR: VD_GERICHTE JS14.003229 du 31 mars 2016</w:t>
      </w:r>
    </w:p>
    <w:p>
      <w:r>
        <w:t>IT: VD_GERICHTE JS14.003229 del 31 marzo 2016</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w:t>
      </w:r>
    </w:p>
    <w:p>
      <w:r>
        <w:t>- 8 -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2e éd., Berne 2010, no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En matière de mesures protectrices de l’union conjugale, la maxime inquisitoire est applicable (art. 272 al. 1 CPC). Elle ne dispense toutefois pas les parties d'une collaboration active à la procédure; il leur incombe ainsi de renseigner le juge sur les faits de la cause et de lui indiquer les moyens de preuve disponibles (ATF 128 III 411 consid. 3.2.1 ; TF 5A_385/2012 du 20 septembre 2012 consid. 6.5 ; TF 5A_661/2011 du 16 février 2012 consid. 4.2).</w:t>
      </w:r>
    </w:p>
    <w:p>
      <w:r>
        <w:t>- 9 -</w:t>
      </w:r>
    </w:p>
    <w:p>
      <w:r>
        <w:rPr>
          <w:b/>
        </w:rPr>
        <w:t>E. 3.2</w:t>
      </w:r>
    </w:p>
    <w:p>
      <w:r>
        <w:t>L’appelant a produit plusieurs pièces en appel. La déclaration d’arrivée, datée du 23 décembre 2015 (pièce 9 ss), et l’échange de courriels, dont le message principal est daté du 23 octobre 2015 (pièce 12), auraient pu être produits en première instance, de sorte que ces pièces sont irrecevables, leur production étant tardive dans le cadre de la présente procédure. Ces pièces ne sont de toute manière pas décisives pour l’issue du présent litige (consid. 4.2.1 in fine). L’attestation FAESA du 28 octobre 2015 (pièce 10) et l’écriture adressée par l’appelant au premier juge le 6 novembre 2015 (pièce 13 ss) sont recevables dans la mesure où elles ont été produites dans le cadre de la procédure principale de première instance. La copie partielle d’un extrait de séquestre (pièce 11) est irrecevable dans la mesure où elle n’est ni datée ni signée. Cette pièce n’est de toute manière pas déterminante (consid. 4.2.3 infra).</w:t>
      </w:r>
    </w:p>
    <w:p>
      <w:r>
        <w:rPr>
          <w:b/>
        </w:rPr>
        <w:t>E. 4.1</w:t>
      </w:r>
    </w:p>
    <w:p>
      <w:r>
        <w:t>Aux termes de l’art. 177 CC (Code civil suisse du 10 décembre 1907 ; RS 210), lorsqu’un époux ne satisfait pas à son devoir d’entretien, le juge peut prescrire aux débiteurs de cet époux d’opérer tout ou partie de leurs paiements entre les mains de son conjoint. Le bien-fondé du droit à l'entretien n'a pas à être examiné dans le cadre de la procédure d'avis aux débiteurs qui, comme mesure d'exécution, présuppose que la contribution d'entretien ait déjà été fixée par convention ou jugement. Son examen se limite aux conditions de l'avis aux débiteurs (TF 5A_791/2012 du 18 janvier 2013 consid. 3 et 4).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w:t>
      </w:r>
    </w:p>
    <w:p>
      <w:r>
        <w:t>- 10 - jugement formant le titre de l'entretien, au point que le minimum vital de ce débiteur pourrait être entamé (TF 5A 223/2014 du 30 avril 2014 consid. 2; TF 5A 791/2012 du 18 janvier 2013 consid.3; TF 5A_578/2011 du 11 janvier 2012 consid. 2.1. ; ATF 137 III 193 consid. 3.9, JdT 2012 II 147).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consid. 5.3; TF 5A 464/2012 du 30 novembre 2012 consid. 5.3; TF 5A_958/2012 du 27 juillet 2013 consid. 2.3.2.1). L'absence de menaces formelles par le crédirentier découlant du retard dans le paiement ne constitue pas un motif empêchant d'ordonner un avis aux débiteurs (TF 5A_771/2012 du 21 janvier 2013 consid. 2.1, in FamPra.ch 2013 p. 491).</w:t>
      </w:r>
    </w:p>
    <w:p>
      <w:r>
        <w:rPr>
          <w:b/>
        </w:rPr>
        <w:t>E. 4.2.1</w:t>
      </w:r>
    </w:p>
    <w:p>
      <w:r>
        <w:t>En l’espèce, l’appelant ne démontre aucune atteinte à son minimum vital. A cet égard, A.F.________ n’a pas contesté la quotité de la contribution d’entretien de 1'850 fr. retenue par le premier juge, déclarant d’ailleurs expressément dans sa réponse à l’appel déposé par son épouse à l’encontre du prononcé du 18 décembre 2015 (CACI 31 mars 2016/194) que ce montant était justifié. Dans ces conditions, il n’y a pas lieu de retenir une atteinte à son minimum vital, indépendamment de la question de savoir si son loyer s’élève à 2'000 fr. comme retenu par le premier juge ou à 2'310 fr. comme allégué en appel.</w:t>
      </w:r>
    </w:p>
    <w:p>
      <w:r>
        <w:rPr>
          <w:b/>
        </w:rPr>
        <w:t>E. 4.2.2</w:t>
      </w:r>
    </w:p>
    <w:p>
      <w:r>
        <w:t>L'appelant fait également valoir que l'avis aux débiteurs annihilerait toute chance ou possibilité de retrouver un emploi dans le domaine bancaire. Toutefois, la pièce produite à cet égard, émanant d'un recruteur de l'appelant, pour autant que pertinente au regard de l'art. 177</w:t>
      </w:r>
    </w:p>
    <w:p>
      <w:r>
        <w:t>- 11 - CC, se limite à des considérations générales sur les conditions d'embauche prévalant en rapport avec les poursuites et les saisies de salaire et ne revêt dès lors pas de valeur probante suffisante, ce d'autant qu'elle n'est corroborée par aucun autre élément. Au surplus, l'appelant, qui perçoit le chômage, est de toute manière contraint de procéder à la recherche active d'un emploi, en élargissant le cas échéant son champ de recherche, indépendamment de la réalisation des conditions mentionnées. Enfin, l'appelant lui-même admet avoir été mis en poursuite par un créancier à hauteur de 10'900 fr., de sorte que cet argument tombe de toute manière à faux.</w:t>
      </w:r>
    </w:p>
    <w:p>
      <w:r>
        <w:rPr>
          <w:b/>
        </w:rPr>
        <w:t>E. 4.2.3</w:t>
      </w:r>
    </w:p>
    <w:p>
      <w:r>
        <w:t>Quant au prétendu « séquestre » prématuré de son compte, la pièce produite à cet égard n'est pas datée et est irrecevable. Au demeurant, s'agissant des saisies en cours, il appartient au débiteur alimentaire de solliciter des autorités de poursuites, après le prononcé portant sur l'avis aux débiteurs, une nouvelle détermination des gains saisissables tenant compte de la mesure ordonnée (Droit de la Famille, De Luze/Page/Stoudmann, Droit de la famille, n. 1.4 ad art. 177 CC et la réf. citée). En tant que l'appelant conclut à l'annulation de l'avis aux débiteurs afin qu'il puisse rembourser ses autres dettes qui seraient à 56% des dettes d'Etat, il y a lieu de relever que l'avis au débiteur ordonné par le juge prime, dès sa notification au tiers, les saisies en cours opérées par l'Office des poursuites ou celles à venir (Droit de la Famille, op. cit.).</w:t>
      </w:r>
    </w:p>
    <w:p>
      <w:r>
        <w:rPr>
          <w:b/>
        </w:rPr>
        <w:t>E. 5</w:t>
      </w:r>
    </w:p>
    <w:p>
      <w:r>
        <w:t>Compte tenu de ce qui précède, l’appel doit être rejeté selon le mode procédural de l’art. 312 al. 1 CPC. La requête d'assistance judiciaire déposée par l’appelant ne peut porter en l'espèce que sur les frais judiciaires de deuxième instance, l'appelant ayant procédé sans l'assistance d'un mandataire professionnel. Au vu des circonstances de l’espèce et dès lors qu’aucune avance de frais n’a été versée, il se justifie de statuer sans frais (art. 112 al. 1 CPC ; 10 et</w:t>
      </w:r>
    </w:p>
    <w:p>
      <w:r>
        <w:t>- 12 - 11 TFJC [Tarif des frais judiciaires en matière civile du 4 décembre 1984 ; RSV 270.11.5]). Par ces motifs, la juge déléguée de la Cour d’appel civile prononce : I. L’appel est rejeté dans la mesure où il est recevable. II. Le prononcé est confirmé. III. L’arrêt, rendu sans frais judiciaires, est exécutoire. La juge déléguée : La greffière : Du Le présent arrêt, dont la rédaction a été approuvée à huis clos, est notifié en expédition complète à : - M. A.F.________, - Me Pascal de Preux (pour B.F.________), et communiqué, par l'envoi de photocopies, à : - Mme la Présidente du Tribunal civil de l’arrondissement de La Côte. La juge déléguée de la Cour d’appel civile considère que la valeur litigieuse est supérieure à 30’000 francs.</w:t>
      </w:r>
    </w:p>
    <w:p>
      <w:r>
        <w:t>- 13 -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