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JS14.002938 vom 8. Mai 2014</w:t>
      </w:r>
    </w:p>
    <w:p>
      <w:r>
        <w:t>VD Tribunal cantonal, 2014-05-08, FR</w:t>
      </w:r>
    </w:p>
    <w:p>
      <w:r>
        <w:rPr>
          <w:b/>
        </w:rPr>
        <w:t xml:space="preserve">Quelle: </w:t>
      </w:r>
      <w:r>
        <w:t>https://mcp.opencaselaw.ch/entscheid/vd_gerichte_JS14.002938</w:t>
      </w:r>
    </w:p>
    <w:p>
      <w:r>
        <w:t>FR: VD_GERICHTE JS14.002938 du 8 mai 2014</w:t>
      </w:r>
    </w:p>
    <w:p>
      <w:r>
        <w:t>IT: VD_GERICHTE JS14.002938 del 8 maggio 2014</w:t>
      </w:r>
    </w:p>
    <w:p>
      <w:pPr>
        <w:pStyle w:val="Heading2"/>
      </w:pPr>
      <w:r>
        <w:t>Erwägungen</w:t>
      </w:r>
    </w:p>
    <w:p>
      <w:r>
        <w:rPr>
          <w:b/>
        </w:rPr>
        <w:t>E. 1</w:t>
      </w:r>
    </w:p>
    <w:p>
      <w:r>
        <w:t>F.________, né le [...] 1983, de nationalité suisse, et J.________, née J.________ le [...] 1981, ressortissante française, se sont mariés le [...] 2008 à Yverdon-les-Bains. Ils sont les parents de [...], né le [...] 2008, et [...], né le [...] 2010.</w:t>
      </w:r>
    </w:p>
    <w:p>
      <w:r>
        <w:t>- 4 - J.________ a quitté le domicile conjugal avec les enfants le 21 décembre 2013.</w:t>
      </w:r>
    </w:p>
    <w:p>
      <w:r>
        <w:rPr>
          <w:b/>
        </w:rPr>
        <w:t>E. 2</w:t>
      </w:r>
    </w:p>
    <w:p>
      <w:r>
        <w:t>F.________ est le président et l’administrateur, avec signature individuelle, de la société [...] (actuellement [...]) qui l’emploie. Ses fiches de salaire pour les mois de novembre à décembre 2013 font état d’un gain net de 6'443 fr. 25, non compris la part au treizième salaire, les allocations familiales (400 fr.), des frais de représentation (450 fr.) et des indemnités occasionnelles pour « panier repas ». Désireux de s’occuper de ses enfants dans le cadre d’une garde alternée, F.________ a décidé de réduire son activité professionnelle à 60% ; sa fiche de salaire pour le mois de janvier 2014 fait ainsi état d’un gain net de 3'865 fr. 95, part au treizième salaire, frais de représentation (450 fr.) et allocations familiales (460 fr.) en sus. Il a cependant déclaré au premier juge qu’il confiait régulièrement les garçons à ses parents lorsqu’il les avait auprès de lui et que le cadet fréquentait la garderie le mardi, jour où l’aîné était à l’école. Les époux ont finalement convenu de confier la garde des enfants à leur mère, [...] et [...] étant auprès de leur père chaque dimanche soir dès 18 heures, tous les lundis et mardis, une fin de semaine sur deux ainsi que durant la moitié des vacances scolaires et des jours fériés ainsi que, dès le 1er juillet 2014, un mercredi matin à quinzaine, jusqu’à 13 h. 30. Selon les lignes directrices pour le calcul du minimum d'existence en matière de poursuite définies par la Conférence des préposés aux poursuites et faillites de Suisse le 15 mai 2012 (www.vd.ch/fr/themes/économie/poursuite-et-faillite/minimum-vital), les charges minimales de F.________ totalisent 3'155 fr. 30 ; elles comprennent une base mensuelle d'entretien pour un adulte vivant seul (1'200 fr.), un montant de 300 fr. pour l'exercice élargi du droit de visite, la prime d'assurance-maladie obligatoire (235 fr. 30), le loyer de l’appartement conjugal dont le prénommé s’est vu attribuer la jouissance (1'200 fr.) et les frais de garderie pour [...] (220 fr.).</w:t>
      </w:r>
    </w:p>
    <w:p>
      <w:r>
        <w:t>- 5 -</w:t>
      </w:r>
    </w:p>
    <w:p>
      <w:r>
        <w:rPr>
          <w:b/>
        </w:rPr>
        <w:t>E. 2.1</w:t>
      </w:r>
    </w:p>
    <w:p>
      <w:r>
        <w:t>L'appel en matière de protection de l'union conjugale relève de la compétence du juge unique (art. 84 al. 2 LOJV [loi du 12 décembre 1979 d'organisation judiciaire; RSV 173.01]).</w:t>
      </w:r>
    </w:p>
    <w:p>
      <w:r>
        <w:rPr>
          <w:b/>
        </w:rPr>
        <w:t>E. 2.2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w:t>
      </w:r>
    </w:p>
    <w:p>
      <w:r>
        <w:rPr>
          <w:b/>
        </w:rPr>
        <w:t>E. 2.3</w:t>
      </w:r>
    </w:p>
    <w:p>
      <w:r>
        <w:t>L'appel est principalement réformatoire. L'autorité d'appel peut toutefois à titre exceptionnel renvoyer la cause en première instance si un élément de la demande n'a pas été examiné ou si l'état de fait doit être complété sur des points essentiels (Tappy, Les voies de droit du nouveau Code de procédure civile, JT 2010 III 148).</w:t>
      </w:r>
    </w:p>
    <w:p>
      <w:r>
        <w:rPr>
          <w:b/>
        </w:rPr>
        <w:t>E. 2.4</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w:t>
      </w:r>
    </w:p>
    <w:p>
      <w:r>
        <w:t>- 8 -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(JT 2010 III 136-137). La jurisprudence vaudoise (JT 2011 III 43; RSPC 2011, p. 320, note approbatrice de Tappy) considère qu'en appel les novas sont soumis au régime ordinaire, même dans les causes soumises à la maxime inquisitoire (en ce sens Tappy, JT 2010 III 115; Hohl, Procédure civile, Tome II, 2ème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En l'espèce, l’appel porte sur la contribution prévue pour l’entretien de l’épouse et des enfants mineurs des parties, si bien que la maxime d’office et la maxime inquisitoire illimitée sont applicables (art. 296 al. 1 et 3 CPC ; Hohl, op. cit., nn. 2099 et 2161, pp. 383 et 395). La pièce produite par l’appelant est donc susceptible d’être examinée par le juge de l’appel, encore qu’elle figurait déjà au dossier de première instance.</w:t>
      </w:r>
    </w:p>
    <w:p>
      <w:r>
        <w:rPr>
          <w:b/>
        </w:rPr>
        <w:t>E. 2.5</w:t>
      </w:r>
    </w:p>
    <w:p>
      <w:r>
        <w:t>Enfin, n'étant pas nouvelles, les conclusions sont recevables. 3.</w:t>
      </w:r>
    </w:p>
    <w:p>
      <w:r>
        <w:rPr>
          <w:b/>
        </w:rPr>
        <w:t>E. 3</w:t>
      </w:r>
    </w:p>
    <w:p>
      <w:r>
        <w:t>Dès avril 2009, J.________ a travaillé comme secrétaire au sein de l’entreprise [...], pour un salaire horaire brut de 25 francs. Sa fiche de salaire du mois de novembre 2013 mentionne un gain net, pour 70 heures de travail, de 1'503 fr. 40. Par courrier du 20 janvier 2014, son employeur lui a signifié la résiliation de son contrat de travail pour le 30 avril 2014, tout en la libérant de l’obligation de travailler dès le 3 février 2014. Part mensuelle au treizième salaire comprise, le revenu de J.________ s’est élevé à 1'628 fr. 85 jusqu’au 30 avril 2014. Celle-ci s’est inscrite à l’assurance-chômage et est à la recherche d’un emploi à temps partiel comme employée de commerce, éventuellement comme esthéticienne, notamment par le biais d’agences de placement. Sauf à avoir retrouvé un emploi, elle devrait ne percevoir, dès le 1er mai 2014, que le 80% de son dernier salaire, soit environ 1'300 fr. par mois. Dès le 1er janvier 2014, J.________ s’est installée avec les enfants à Ste-Croix, dans un appartement de quatre pièces et demie. Ses charges incompressibles, selon les lignes directrices rappelées ci-dessus, comprennent une base mensuelle d'entretien pour un adulte monoparental (1'350 fr.), les bases mensuelles pour les enfants (800 fr. [2 x 400 fr.]), le loyer (1'490 fr.), sa prime pour l’assurance-maladie de base (253 fr.) et celle des enfants (182 fr. 20 [ 2 x 91 fr. 60]). Elles totalisent ainsi 4'076 fr. 20. Avec un revenu de 1'628 fr. par mois, auquel il convient d’ajouter 460 fr. d’allocations familiales, il manque à l’épouse 1'988 fr. pour couvrir ses besoins vitaux (4'076 fr. - 2'088 fr.).</w:t>
      </w:r>
    </w:p>
    <w:p>
      <w:r>
        <w:rPr>
          <w:b/>
        </w:rPr>
        <w:t>E. 3.1</w:t>
      </w:r>
    </w:p>
    <w:p>
      <w:r>
        <w:t>L’appelant fait valoir que c’est à tort que le premier juge a retenu que la prise en charge des enfants prévue par la convention ne justifiait pas une réduction de son taux d’activité à 60% et a admis un revenu hypothétique.</w:t>
      </w:r>
    </w:p>
    <w:p>
      <w:r>
        <w:t>- 9 -</w:t>
      </w:r>
    </w:p>
    <w:p>
      <w:r>
        <w:rPr>
          <w:b/>
        </w:rPr>
        <w:t>E. 3.2</w:t>
      </w:r>
    </w:p>
    <w:p>
      <w:r>
        <w:t>Lorsque le débirentier diminue volontairement son revenu alors qu’il savait, ou devait savoir, qu’il lui incombait d’assumer des obligations d’entretien, il est admissible de lui imputer le revenu qu’il gagnait précédemment, ce avec effet rétroactif au jour de la diminution (TF 5A_317/2011 du 22 novembre 2011 c. 6.2, non publié aux ATF 137 III 614 ; TF 5A_612/2011 du 27 février 2012 c. 2.1 ; TF 5A_679/2011 du 10 avril 2012 c. 5.1, in FamPra.ch 2012 p. 789). Il est ainsi admissible de considérer que l’époux doit maintenir un taux d’activité à plein temps, comme le prévoyait la convention pendant la vie commune, pour subvenir aux frais supplémentaires qu’engendre la vie séparée, lors même que son épouse travaille à mi-temps et de lui imputer un revenu hypothétique s’il réduit ce taux d’activité (TF 5A_679/2011 du 10 avril 2012 c. 5.3, in FamPra.ch 2012 p. 789). De manière générale, on peut retenir que plus la situation financière est précaire, plus il apparaît justifié d’imputer un revenu hypothétique lors du calcul des contributions dues (Sabrina Burgat, Le revenu hypothétique en cas de séparation ou de divorce, Newsletter DroitMatrimonial.ch septembre. 2011 ; Juge délégué CACI 15 août 2012/382, c. 4.2).</w:t>
      </w:r>
    </w:p>
    <w:p>
      <w:r>
        <w:rPr>
          <w:b/>
        </w:rPr>
        <w:t>E. 3.3</w:t>
      </w:r>
    </w:p>
    <w:p>
      <w:r>
        <w:t>En l’espèce, les parties ont convenu que la garde serait confiée à l’épouse et que l’appelant bénéficierait d’un libre et large droit de visite, à exercer d’entente avec l’intimée. A défaut d’entente, il aurait les enfants auprès de lui, transports à sa charge, tous les dimanches soirs dès 18 heures, tous les lundis et mardis, un week-end sur deux dès le vendredi à 18 heures, la moitié des vacances scolaires et alternativement à Pâques ou Pentecôte, Noël ou Nouvel An. Dès le 1er juillet 2014, il prendrait en charge ses enfants un mercredi matin sur deux jusqu’à 13 h 30. Certes, le régime mis en place s’apparente à une garde alternée. Il est cependant ressorti des explications de l’appelant en première instance – qui ne sont pas remises en cause en appel – qu’en semaine, celui-ci confiait ses enfants à ses parents et que la garderie</w:t>
      </w:r>
    </w:p>
    <w:p>
      <w:r>
        <w:t>- 10 - prenait en charge le cadet le mardi. [...] continuera à fréquenter celle-ci le mardi, jour où l’aîné se trouvera quant à lui à l’école. Il en résulte que cette réglementation du droit de visite impliquera une prise en charge personnelle des enfants par leur père le lundi, plus un mercredi matin sur deux dès le 1er juillet 2014. Cela étant, c’est à juste titre que le premier juge a considéré que cette prise en charge pouvait justifier une réduction du taux d’activité de l’appelant à 75%, mais non à 60%. C’est d’autant plus le cas que la situation financière des parties est serrée et que la contribution arrêtée par le premier juge ne dépasse que de 92 fr. le déficit de l’intimée. Le moyen est donc infondé.</w:t>
      </w:r>
    </w:p>
    <w:p>
      <w:r>
        <w:rPr>
          <w:b/>
        </w:rPr>
        <w:t>E. 4</w:t>
      </w:r>
    </w:p>
    <w:p>
      <w:r>
        <w:t>L’appelant reproche au premier juge de ne pas avoir tenu compte, dans le calcul de son minimum vital, des impôts. Si, comme en l'espèce, les moyens des parties sont limités par rapport aux besoins vitaux, il n'y a pas lieu de prendre en considération les impôts courants, qui n’en font pas partie, et c’est de manière conforme à la jurisprudence que le premier juge n’en a pas tenu compte (ATF 127 III 289 c. 2a/bb, 126 III 353 c. 1a/aa ; TF 5A_302/2011 du 30 septembre 2011 c. 6.3.1 ; TF 5A-511/2010 du 4 février 2011 c. 2.2.3). Partant, l'appel est mal fondé sur ce point également.</w:t>
      </w:r>
    </w:p>
    <w:p>
      <w:r>
        <w:rPr>
          <w:b/>
        </w:rPr>
        <w:t>E. 5</w:t>
      </w:r>
    </w:p>
    <w:p>
      <w:r>
        <w:t>L’appelant fait valoir que le montant mis à sa charge risque de faire échouer tout accord quant à la garde alternée. Ce moyen est sans pertinence sur la fixation de la contribution en mesures protectrices, la fixation des contributions à long terme après divorce pouvant obéir à d’autres principes.</w:t>
      </w:r>
    </w:p>
    <w:p>
      <w:r>
        <w:t>- 11 -</w:t>
      </w:r>
    </w:p>
    <w:p>
      <w:r>
        <w:rPr>
          <w:b/>
        </w:rPr>
        <w:t>E. 6</w:t>
      </w:r>
    </w:p>
    <w:p>
      <w:r>
        <w:t>En conclusion, l’appel est rejeté dans la procédure de l’art. 312 al. 1 CPC et l’ordonnance querellée doit être confirmée. En matière de mesures protectrices de l'union conjugale, seule la première instance bénéficie de la gratuité. Les frais judiciaires de la procédure d'appel peuvent être mis à la charge d'une partie. 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En l'espèce, les frais judiciaires, arrêtés à 600 francs (art. 65 al. 3 TFJC [tarif des frais judiciaires civils du 28 septembre 2010; RSV 270.11.5]) sont mis à la charge de l’appelant qui succombe Il n'y a pas lieu d'allouer de dépens à la partie intimée, qui n'a pas été invitée à déposer une réponse. Par ces motifs, le Juge délégué de la Cour d’appel civile du Tribunal cantonal, statuant à huis clos, en application de l'art. 312 al. 1 CPC, prononce : I. L’appel est rejeté. II. L’ordonnance est confirmée.</w:t>
      </w:r>
    </w:p>
    <w:p>
      <w:r>
        <w:t>- 12 - III. Les frais judiciaires de deuxième instance, arrêtés à 600 fr. (six cents francs) sont mis à la charge de l’appelant F.________. IV. L’arrêt motivé est exécutoire. Le juge délégué : Le greffier : Du 8 mai 2014 Le dispositif de l'arrêt qui précède est communiqué par écrit aux intéressés. Le greffier : Du L'arrêt qui précède, dont la rédaction a été approuvée à huis clos, est notifié en expédition complète, par l'envoi de photocopies, à : - Me Paul-Arthur Treyvaud (pour F.________), - Me Alexa Landert (pour J.________).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w:t>
      </w:r>
    </w:p>
    <w:p>
      <w:r>
        <w:t>- 13 -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