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JS13.053421 vom 9. März 2015</w:t>
      </w:r>
    </w:p>
    <w:p>
      <w:r>
        <w:t>VD Tribunal cantonal, 2015-03-09, FR</w:t>
      </w:r>
    </w:p>
    <w:p>
      <w:r>
        <w:rPr>
          <w:b/>
        </w:rPr>
        <w:t xml:space="preserve">Quelle: </w:t>
      </w:r>
      <w:r>
        <w:t>https://mcp.opencaselaw.ch/entscheid/vd_gerichte_JS13.053421</w:t>
      </w:r>
    </w:p>
    <w:p>
      <w:r>
        <w:t>FR: VD_GERICHTE JS13.053421 du 9 mars 2015</w:t>
      </w:r>
    </w:p>
    <w:p>
      <w:r>
        <w:t>IT: VD_GERICHTE JS13.053421 del 9 marzo 2015</w:t>
      </w:r>
    </w:p>
    <w:p>
      <w:pPr>
        <w:pStyle w:val="Heading2"/>
      </w:pPr>
      <w:r>
        <w:t>Erwägungen</w:t>
      </w:r>
    </w:p>
    <w:p>
      <w:r>
        <w:rPr>
          <w:b/>
        </w:rPr>
        <w:t>E. 43</w:t>
      </w:r>
    </w:p>
    <w:p>
      <w:r>
        <w:t>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2e éd., n. 2014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L’autorité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En l’espèce, l’appelante a requis la production, cas échéant de la décision d’octroi d’indemnité de l’assurance-invalidité en faveur de B.X.________ et du rapport de sortie qui a fait suite au séjour de ce dernier au sein de la Clinique [...] afin de pouvoir évaluer sa capacité / son incapacité de travail.</w:t>
      </w:r>
    </w:p>
    <w:p>
      <w:r>
        <w:t>- 7 - Procédant à une appréciation anticipée des preuves, le Juge de céans est en mesure de trancher le litige sur la base des moyens de preuve à disposition, les motifs du séjour de l’intimé à la Clinique Montana n’étant pas de nature à modifier le résultat des preuves qu'il tient pour acquis. Il ne sera dès lors pas donné suite à la mesure d’instruction requise. 3. L’appelante soutient que le premier juge a apprécié les faits de manière erronée en admettant que la situation de l’intimé se serait modifiée depuis le 29 janvier 2014. Elle émet en particulier des doutes s’agissant de l’incapacité de travailler de l’intimé. a)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b)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w:t>
      </w:r>
    </w:p>
    <w:p>
      <w:r>
        <w:t>- 8 - standard de vie antérieur, choisi d'un commun accord, doit être maintenu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Dans les cas où les parties ne sont pas dans une situation financière favorable,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 RS 281.1]), élargi des dépenses incompressibles, enfin à répartir le solde disponible de manière égale entre eux (TF 5P.504/2006 du 22 février 2007, c. 2.2.1 ; TF 5C.180/2002 du 20 décembre 2002, c. 5.2.2, in FamPra.ch 2003 p. 428 ss, 430 et les citations).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c) Aux termes de l’art. 179 al. 1 1ère phrase CC, le juge ordonne les modifications commandées par les faits nouveaux et rapporte les mesures prises lorsque les causes qui les ont déterminées n’existent plus.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(TF 5A 502/2010 du 25 juillet 2011 c. 3.2.2, publié in :</w:t>
      </w:r>
    </w:p>
    <w:p>
      <w:r>
        <w:t>- 9 -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(TF 5A_522/2011 du 18 janvier 2012 c. 4.1 ; TF 5A_730/2008 du 22 décembre 2008 c. 3.1 et les arrêts cités ; TF 5P.473/2006 du 19 décembre 2006 c. 3). En revanche, les parties ne peuvent pas invoquer, pour fonder leur requête en modification, une mauvaise appréciation des circonstances initiales, que le motif relève du droit ou de l’établissement des faits (TF 5A_618/2009 du 14 décembre 2009 c. 3.2.2). La procédure de modification n’a pas pour but de corriger le premier jugement, mais de l’adapter aux circonstances nouvelles (ATF 131 III 189 c. 2.7.4 ; ATF 120 II 177 c. 3a). c) En l’espèce, le premier juge s’est fondé sur un certificat médical daté du 14 janvier 2014 ainsi qu’un courrier de l’employeur de l’intimé, daté du 24 octobre 2013, pour admettre que ce dernier subissait une incapacité de travail totale depuis le 9 septembre 2012 et que son salaire avait été baissé en conséquence au 1er novembre 2013. Compte tenu du courrier qu’[...] SA avait adressé à l’intimé le 19 août 2014, le premier juge a en outre retenu que celui-ci n’avait plus droit aux prestations de l’assurance maladie dès le 8 septembre 2014 et qu’il bénéficie du Revenu d’insertion (ci-après : RI) depuis le 1er octobre 2014. Il a considéré que ces éléments constituaient une modification durable et notable de la situation de l’intimé par rapport à celle qui prévalait le 29 janvier 2014 et que compte tenu de la situation financière de ce dernier, il n’était plus en mesure de contribuer à</w:t>
      </w:r>
    </w:p>
    <w:p>
      <w:r>
        <w:t>- 10 - l’entretien des siens. Il l’a dès lors libéré de cette obligation à compter du 1er octobre 2014, soit dès le moment où il a bénéficié du RI. Cette analyse, complète et convaincante, ne prête pas le flanc à la critique et doit être suivie. En effet, les allégations de l’appelante, qui ne sont fondées sur aucun élément concret, ne permettent pas d’écarter les pièces du dossier qui attestent de manière vraisemblable que l’intimé est en incapacité de travailler depuis le mois de septembre 2012, qu’il n’a plus droit aux prestations de l’assurance maladie depuis le 8 septembre 2014 et qu’il ne perçoit plus que le RI à compter du 1er octobre 2014. Conformément au principe général du droit de la famille selon lequel le minimum vital du débiteur de l’entretien ne doit pas être entamé, le premier juge a libéré à raison l’intimé de son obligation d’entretien dès le 1er octobre 2014. Ce moyen, mal fondé, doit être rejeté. 4. En définitive, l’appel doit être rejeté et l’ordonnance entreprise confirmée. Les frais judiciaires de deuxième instance sont arrêtés à 600 fr. (art. 63 al. 1 TFJC [tarif des frais judiciaires en matière civile du 28 septembre 2010 ; RSV 270.11.5]). Vu l’issue du litige, il y a lieu de les mettre à la charge de l’appelante, qui succombe entièrement (art. 106 al. 1 CPC). Dès lors que celle-ci plaide au bénéfice de l’assistance judiciaire, ces frais seront cependant temporairement laissés à la charge de l’Etat (art. 122 al. 1 let. b CPC). En sa qualité de conseil d’office de l'appelante, Me Jeton Kryeziu, a droit à une rémunération équitable pour ses opérations et débours dans la procédure d’appel (art. 122 al. 1 let. a CPC). Le 24 février 2015, l’avocat a produit sa liste des opérations, dont il ressort qu’il a consacré 6 heures 25 à la procédure de deuxième instance, ce qui paraît adéquat. L’avocat a en outre indiqué avoir assumé des débours par 55 fr. 50, constitué notamment par des frais de photocopies. Les frais de photocopies font cependant parties des frais généraux de l’étude et n’ont</w:t>
      </w:r>
    </w:p>
    <w:p>
      <w:r>
        <w:t>- 11 - pas à être pris en considération (Bohnet/Martenet, Droit de la profession d’avocat, 2009, n. 2916, qui renvoient notamment à ATF 117 la 22 c. 4b ; Cour de modération, S. c. B., 14 novembre 1985), de sorte que c’est le montant forfaitaire de 50 fr. qui sera pris en compte à titre de remboursement des débours. Au tarif horaire de 180 fr. hors TVA (art. 2 al. 1 let. a et b RAJ [Règlement sur l'assistance judiciaire en matière civile ; RSV 211.02.3]), l’indemnité qui doit être allouée à Me Kryeziu s’élève à 1'125 fr. pour ses honoraires, plus 90 fr. de TVA (8%), à laquelle s’ajoute le montant de 54 fr. pour ses débours, TVA comprise, soit une indemnité totale de 1'269 francs. Me Vincent Demierre, conseil d’office de l'intimé, a également droit à une rémunération équitable pour ses opérations et débours dans la procédure d’appel. Celui-ci a produit, le 5 mars 2015, sa liste des opérations, dans laquelle il déclare avoir consacré 4 heures 25 à ce mandat, en sus de 11 fr. 30 de débours. Cette durée paraît adéquate. Au tarif horaire de 180 fr. hors TVA, l’indemnité qui doit être allouée à Me Demierre s’élève à 800 fr. pour ses honoraires plus 64 fr. de TVA (8%), à laquelle s’ajoute 12 fr. 20 de débours, TVA comprise, soit une indemnité totale de 876 fr. 20. Les bénéficiaires de l’assistance judiciaire sont, dans la mesure de l’art. 123 CPC, tenus au remboursement des frais judiciaires et de l’indemnité au conseil d’office mis temporairement à la charge de l’Etat. L’appelante ayant succombé à son appel, des dépens de deuxième instance, arrêtés à 1'000 fr. sont mis à sa charge en faveur de l’intimé (art. 122 al. 1 let. d CPC).</w:t>
      </w:r>
    </w:p>
    <w:p>
      <w:r>
        <w:t>- 12 - Par ces motifs, le juge délégué de la Cour d’appel civile du Tribunal cantonal, prononce : I. L’appel est rejeté. II. Les frais judiciaires de deuxième instance de l’appelante, arrêtés à 600 fr. (six cents francs), sont laissés à la charge de l’Etat. III. L’indemnité d’office de Me Jeton Kryeziu, conseil de l’appelante, est arrêtée à 1'269 fr. (mille deux cent soixante- neuf francs), TVA et débours compris, et celle de Me Vincent Demierre, conseil de l’intimé, à 876 fr. 20 (huit cent septante- six francs et vingt centimes), TVA et débours compris. IV. Les bénéficiaires de l’assistance judiciaire sont, dans la mesure de l’art. 123 CPC, tenus au remboursement des frais judiciaires et de l’indemnité au conseil d’office mis à la charge de l’Etat. V. L’appelante A.X.________ doit verser à l’intimé B.X.________ la somme de 1'000 fr. (mille francs), à titre de dépens de deuxième instance. VI. L’arrêt motivé est exécutoire. Le juge délégué : La greffière :</w:t>
      </w:r>
    </w:p>
    <w:p>
      <w:r>
        <w:t>- 13 - Du 10 mars 2015 Le dispositif de l'arrêt qui précède est communiqué par écrit aux intéressés. La greffière : Du L'arrêt qui précède, dont la rédaction a été approuvée à huis clos, est notifié en expédition complète, par l'envoi de photocopies à : - Me Jeton Kryeziu, avocat (pour A.X.________), - Me Vincent Demierre, avocat (pour B.X.________). Le juge délégué de la Cour d’appel civile considère que la valeur litigieuse est supérieure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