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JS13.052732 vom 8. September 2014</w:t>
      </w:r>
    </w:p>
    <w:p>
      <w:r>
        <w:t>VD Tribunal cantonal, 2014-09-08, FR</w:t>
      </w:r>
    </w:p>
    <w:p>
      <w:r>
        <w:rPr>
          <w:b/>
        </w:rPr>
        <w:t xml:space="preserve">Quelle: </w:t>
      </w:r>
      <w:r>
        <w:t>https://mcp.opencaselaw.ch/entscheid/vd_gerichte_JS13.052732</w:t>
      </w:r>
    </w:p>
    <w:p>
      <w:r>
        <w:t>FR: VD_GERICHTE JS13.052732 du 8 septembre 2014</w:t>
      </w:r>
    </w:p>
    <w:p>
      <w:r>
        <w:t>IT: VD_GERICHTE JS13.052732 del 8 settembre 2014</w:t>
      </w:r>
    </w:p>
    <w:p>
      <w:pPr>
        <w:pStyle w:val="Heading2"/>
      </w:pPr>
      <w:r>
        <w:t>Erwägungen</w:t>
      </w:r>
    </w:p>
    <w:p>
      <w:r>
        <w:rPr>
          <w:b/>
        </w:rPr>
        <w:t>E. 3</w:t>
      </w:r>
    </w:p>
    <w:p>
      <w:r>
        <w:t>Le recourant revendique l’attribution en sa faveur du véhicule des époux. Selon l’art. 176 al. 1 ch. 2 CC, à la requête de l’un des conjoints et si la suspension de la vie commune est fondée, le juge prend les mesures notamment en ce qui concerne le mobilier de ménage. La jurisprudence a précisé qu’un véhicule entrait dans la notion de mobilier de ménage s’il faisait partie du niveau de vie des époux. Et déterminant à cet égard dans l’attribution la réglementation qui apparaît le plus appropriée et non le fait que l’un des époux est propriétaire ou possède un meilleur droit aux objets concernés (ATF 114 II 18 c. 4, JT 1990 I 140 ; TF 5P.476/2006 du 16 janvier 2007 c. 4).</w:t>
      </w:r>
    </w:p>
    <w:p>
      <w:r>
        <w:t>- 9 - En l’espèce, il y a lieu d’admettre avec l’intimée que le véhicule en cause est plus utile à une mère qui travaille et vit avec un enfant de cinq ans qu’à un père qui se rend à son travail au moyen des transports publics et devrait effectuer un trajet de Nyon à Pully deux fois par mois. L’enfant étant le plus souvent sous la responsabilité de la mère, c’est celle-ci qui doit bénéficier le plus souvent de l’allègement que procure l’usage d’un véhicule. A cet égard, il y a lieu de relever que l’appelant a la faculté d’effectuer le trajet précité en train, dès lors que les deux domiciles ne sont guère éloignés des gares, ou de louer un véhicule deux fois par mois, respectivement d’adhérer à une entreprise de partage de véhicules.</w:t>
      </w:r>
    </w:p>
    <w:p>
      <w:r>
        <w:rPr>
          <w:b/>
        </w:rPr>
        <w:t>E. 4</w:t>
      </w:r>
    </w:p>
    <w:p>
      <w:r>
        <w:t>a)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w:t>
      </w:r>
    </w:p>
    <w:p>
      <w:r>
        <w:t>- 10 - (ATF 126 III 8 c. 3c et les arrêts cités, JT 2000 I 29) ou que des circonstances importantes ne justifient de s’en écarter (ATF 119 II 314 c. 4b/bb). b) L’appelant fait grief au premier juge de n’avoir pas déduit des besoins de l’enfant les montant de 390 fr. à titre de rente AI pour enfant et de 300 fr. à titre d’allocation familiales. Selon la jurisprudence, les allocations familiales ne doivent en principe pas être retenues dans la capacité contributive du débiteur de la contribution ou du parent gardien, dès lors que ce sont les enfants qui en sont titulaires et qu’il doit en être tenu compte dans la fixation de l’entretien que leur doit le parent débiteur (TF 5A_402/2010 du 10 septembre 2010, Revue de la protection des mineurs et des adultes [RMA] 2010, p. 451). Elles sont cependant retranchées du coût d’entretien de l’enfant et doivent donc être déduites dans le calcul du minimum vital lors de la fixation de la contribution due par le parent non gardien pour l’entretien des siens (ATF 137 III 59 c. 4.2.3 ; TF 5A_386/2012 du 23 juillet 2012 c. 4.2.1 et références ; TF 5A_511/2010 du 4 février 2011 c. 3). Il en va de même des rentes pour enfant versées par l’assurance-vieillesse et survivant, l’assurance-invalidité ou la prévoyance professionnelle (de Luze/Page/Stoudmann, Droit de la famille, 2013, n. 2.1 ad art. 285 CC, p. 509). Les montants de 390 fr. à titre de rente pour enfant et de 300 fr. à titre d’allocations familiales doivent donc être retranchés des montants affectés à l’enfant dans le calcul du minimum vital de l’intimée. c) L’appelant conteste les frais de parking de l’intimée, par 80 fr., et ceux de garde de l’enfant, par 500 francs. S’agissant d’une mère et d’un enfant de cinq ans, à laquelle on reconnaît la faculté d’utiliser un véhicule, qui a déménagé à Pully au mois de juillet 2014, a recherché du travail et en a trouvé à compter du mois de septembre 2014, on ne saurait lui dénier la nécessité d’engager de tel</w:t>
      </w:r>
    </w:p>
    <w:p>
      <w:r>
        <w:t>- 11 - frais. Le montant de 500 fr. apparaît raisonnable sans qu’il faille déterminer précisément des frais effectifs. d) L’appelant soutient que son revenu doit être déterminé sur la base de sa déclaration fiscale afférente à l’année 2012, qui faisait apparaître un montant net de 126'905 fr. correspondant à un montant mensuel de 10'575 fr. en chiffres ronds. Il expose que ni les revenus de l’année 2013 ni ceux des six premiers mois de l’année 2014 ne sont représentatifs, dès lors qu’il a effectué alors des heures supplémentaires dans une mesure importante sans que cette situation ne doive se reproduire. A lire le courriel de son employeur du 4 juillet 2014 (pièce n° 3), tel est effectivement le cas et on ne saurait présumer que ses déclarations sont de complaisance. Dès lors que, selon une lettre de l’employeur du 3 juillet 2014, le salaire annuel brut de l’appelant s’élève à 125'000 fr. depuis 2011 et que le revenu déclaré pour l’année 2012 comprend des heures supplémentaire, par 2'174 fr. 90 (pièce n° 2), il y a lieu de prendre en considération le montant de 10'575 fr. susmentionné. L’intimée se plaint à juste titre de ce que l’appelant n’a produit que tardivement les pièces susmentionnées, alors qu’il lui incombait des les fournir en première instance, même si la maxime inquisitoire illimitée était applicable. Il devra être tenu compte de ce fait dans le cadre de la fixation des dépens. e) L’appelant entend que soit prise en considération sa charge fiscale. Lorsque la contribution est calculée conformément â la méthode dite du minimum vital avec répartition de l’excédent et que les conditions financières des parties sont favorables, il faut prendre en considération la charge fiscale courante — â l’exclusion des arriérés d’impôts – (TF 5A_302/2011 du 30 septembre 2011 c. 6.3.1, La Pratique du droit de la famile [FamPra.ch] 2012 p. 160; TF 5A_732/2007 du 4 avril</w:t>
      </w:r>
    </w:p>
    <w:p>
      <w:r>
        <w:t>- 12 - 2008 c. 2.1). Ce principe s’applique aussi aux mesures protectrices de l’union conjugale et aux mesures provisionnelles (TF 5A_51 1/2010 du 4 février 2011 c. 2.2.3; TF 5A_508/2011 du 21 novembre 2011 c. 4.2.5; TF 5A_219/2014 du 26 juin 2014 c. 4.2.1). Le Tribunal fédéral a considéré qu’un solde de plus de 500 fr. à répartir entre les époux justifiait que la charge fiscale courante d’impôts soit prise en considération (TF SA_511/2010 du 4 février 2011 c. 2.2.3; cf. TF 5A_302/2011 du 30 septembre 2011 c. 6.3.1, FamPra.ch 2012 p: 160: disponible du couple de 2’500 fr.). Lorsque la charge fiscale est prise en compte, elle doit l’être chez les deux époux (Juge délégué CACI 4 mai 2011/65). Cela présuppose de faire une évaluation de la charge fiscale future des parties en fonction des contributions fixées. A cet effet, on peut utiliser la calculette de l’ACI http://www.vd.ch/themes/etat-droit-finances/impots/impots-individus- personnes-physiques/calculer-mes-impôts. Le Tribunal fédéral a fait référence à de telles simulations d’impôts disponibles sur des sites de l’administration fiscale (TF 5A_475/2011 du 12 décembre 2011 c.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 4.5.2). En l’espèce, l’appelant a produit un formule de déclaration pour l’année 2013 qu’il a remplie comme si la séparation avait été effective au 31 décembre 2012, à savoir en déduisant de son revenu la pension en cause. Selon la simulation (pièce n° 23), il en résulte un charge fiscale mensuelle de quelque 800 fr. par mois (9'651 : 12). L’intimée supporte une charge fiscale correspondant à un revenu mensuel d’environ 2'200 fr., eu égard à l’indemnité de chômage perçue jusqu’à mi juillet 2014 et au salaire perçu à compter du mois de septembre 2014, auquel il y a lieu d’ajouter une rente AI de 974 fr. et la contribution en cause. Introduits dans la formule de déclaration d’impôts du logiciel Vaud-tax avec les déductions forfaitaires usuelles, ces montants déterminent un revenu imposable de 45'400 fr. pour l’ICC et de 79'900</w:t>
      </w:r>
    </w:p>
    <w:p>
      <w:r>
        <w:t>- 13 - pour l’IFD. Il en résulte, selon la simulation de la calculette susmentionnée, un charge mensuelle de 1'000 fr. en chiffres ronds (12'772 : 12). f) L’appelant entend que la pension soit due à compter du mois de juillet 2014 et non du mois de mai précédent. L’intimée a conclu à une pension par requête du 1er mai 2014. Par convention passée à l’audience du 8 mai 2013, les parties ont prévu que l’intimée quitterait le domicile conjugal dans un délai échant au 17 mai 2014. Elle a pris à bail un appartement à Pully à compter du 15 avril 2014. Il est vrai que, selon un courriel de l’intimée du 29 juin 2014 (pièce n° 6), celle-ci renonçait à réclamer une pension pour le mois de mai 2014 et demandait, pour le mois de juin suivant, la différence entre un montant de 4'400 fr. et les « frais de la BAB ». Toutefois, il ne s’agissait que d’une proposition qui n’a pas débouché sur un accord et qui ne lie désormais plus l’intimée. g) L’intimée soutient qu’il convient de prendre en compte au titre de revenu de l’appelant un montant de 825 fr. correspondant à la différence entre le loyer perçu d’un sous-locataire, par 2'400 fr. et celui versé par l’appelant pour l’appartement de Genève, par 1'575 francs. L’appelant expose qu’un changement de sous-locataire est intervenu et qu’il ne réalise plus désormais qu’un gain de 200 francs. L’appelant pourrait cependant remettre l’appartement de Nyon, pour lequel il verse un loyer de 2'650 fr., et reprendre l’appartement de Genève, en réalisant ainsi une économie de 1'075 fr. (2'650 fr. – 1'575 fr.). Cela vaut même si, comme il l’a déclaré en audience, l’appartement genevois ne comprend qu’une grande pièce et qu’il devrait être aménagé pour accueillir son fils en fin de semaine. Il pourrait également prendre à bail un appartement moins onéreux, pour un loyer de l’ordre de 1'800 fr., dont il déduirait le gain de 200 fr. précité. Il y a dès lors lieu de prendre en considération une charge de loyer de 1'600 fr. pour l’appelant.</w:t>
      </w:r>
    </w:p>
    <w:p>
      <w:r>
        <w:t>- 14 - h) L’intimée conteste la prise en compte du montant de 820 fr. correspondant au remboursement du crédit octroyé à l’appelant pour l’achat d’un appartement en France occupé par les parents de celui-ci. Selon la jurisprudence, pour autant que la situation financière des parties le permette, il peut être tenu compte d’une dette dans le calcul du minimum vital uniquement lorsqu’elle a été assumée avant la fin du ménage commun aux fins de l’entretien des deux époux, mais non lorsqu’elle a été assumée au profit d’un seul d’entre eux, à moins que les deux époux n’en répondent solidairement (ATF 127 III 289 c. 2a, cité par de Luze/Page/Stoudmann, op. cit., n. 1.72 ad art. 176 CC, p. 271). En l’espèce, l’appelant ne démontre pas que la dette en cause aurait été contractée aux fins de l’entretien des parties. En outre, dans la mesure où les parents de l’appelant occupent cet appartement, les frais liés à celui-ci leur incombent et l’appelant ne démontre pas qu’il serait débiteur à leur égard d’une contribution d’entretien. Le remboursement de ce crédit n’a dès lors pas à être pris en considération. i) L’intimée soutient qu’il n’y a pas lieu de prendre en compte le montant de 150 fr. pour le droit de visite dans le calcul du minimum vital de l’appelant. Les frais liés à l’exercice du droit de visite peuvent être pris en compte dans le calcul du minimum vital du parent visiteur (TF 7B 145/2005 du 11 octobre 2005, FamPra.ch 2006, p. 198 ; Vetterli, FamKomm Scheidung, Band I, 2e éd., 2011, n. 33 ad art. 176 CC, p. 431; Juge délégué CACI 2 décembre 2011/387 c. 4b). Selon la jurisprudence non publiée du Tribunal fédéral, cette prise en considération ne s’impose pas (TF 5A_42/2013 du 27 juin 2013 c. 2.2.4 ; TF 5A_63/2012 du 20 juin 2012 c. 4.2.1).</w:t>
      </w:r>
    </w:p>
    <w:p>
      <w:r>
        <w:t>- 15 - En l’espèce, compte tenu du trajet important imposé à l’appelant pour l’exercice du droit de visite, il y a lieu de prendre en compte le montant de 150 fr. litigieux. j) En définitive, les dépenses essentielles de l’appelant doivent être fixées à 4'511 fr. (1'200 fr. de montant de base, 150 fr. de montant de base pour le droit de visite, 1'600 fr. de loyer, 193 fr. de primes d’assurance-maladie, 24 fr. pour Swisscaution, 266 fr. de repas pris hors du domicile, 274 fr. de frais de transport et 804 fr. d’impôt). Compte tenu d’un salaire de 10'575 fr., le disponible de l’appelant s’élève à 6'064 francs. Les dépenses essentielles de l’intimée doivent être fixées à 4'965 fr. (1'350 fr. de montant de base, 210 fr. [400 fr. de montant de base + 500 fr. de frais de garde + 57 de frais de conservatoire – 390 fr. de rente pour enfant – 300 fr. d’allocations familiales] de frais liés à l’enfant C.X.________, 1'835 fr. de loyer pour l’appartement et le parking, 470 fr. de primes d’assurance-maladie pour l’intimée et l’enfant, 100 fr. de frais de transport et 1'000 fr. d’impôts). Compte tenu de revenus de 3'325 fr. (2'351 fr. de salaire + 974 de rente AI), le budget de l’intimée présente un déficit de 1'640 francs. Les revenus globaux des parties s’élevant à 13'900 fr. et leurs dépenses essentielles à 9'476 francs, le couple bénéficie d’un disponible de 4'424 francs, qu’il convient de répartir, comme l’a fait le premier juge, à raison de deux tiers en faveur de l’intimée, compte tenu du fait qu’elle a la garde de l’enfant, et d’un tiers en faveur de l’appelant. L’appelant doit ainsi couvrir le déficit de l’intimée, par 1'640 fr. et lui verser sa part du disponible, par 2'949 fr. 30 (4'424 x 2 : 3), de sorte que la contribution litigieuse atteint 4'589 fr. 30, montant supérieur à celui alloué par le premier juge. L’appel doit en conséquence être rejeté.</w:t>
      </w:r>
    </w:p>
    <w:p>
      <w:r>
        <w:t>- 16 -</w:t>
      </w:r>
    </w:p>
    <w:p>
      <w:r>
        <w:rPr>
          <w:b/>
        </w:rPr>
        <w:t>E. 5</w:t>
      </w:r>
    </w:p>
    <w:p>
      <w:r>
        <w:t>L’intimée a pris dans sa réponse à l’appel des conclusions tendant à l’augmentation de la contribution litigieuse. Selon l’art. 296 al. 3 CPC, qui fait partie du Titre 7 « Procédure applicable aux enfants dans les affaires de droit de la famille », le tribunal n’est pas lié par les conclusions des parties. Quant à l’interdiction de la réformatio in pejus, elle n’entre pas en considération là où s’applique la maxime d’office (ATF 129 III 417 c. 2.1.1 ; TF 5A_766/2010 du 30 mai 2011 c. 4.1.1). Il n’empêche qu’à tout le moins s’agissant de conclusions pécuniaires, on ne conçoit pas que l’intimée, privée de la faculté de former un appel joint (art. 314 al. 2 CPC), puisse néanmoins prendre en réponse des conclusions tendant à remettre en cause la décision du premier juge. Dès lors que l’intérêt de l’enfant ne commande pas une modification de la pension dans le sens voulu par l’intimée, cela même celle-ci n’a pas obtenu un plein revenu durant les mois de juillet et d’août 2014, que la fixation de cette pension relève pour une bonne part de l’appréciation et que l’intimée n’a pas formé appel, il n’y a pas lieu de faire droit aux conclusions de celle-ci.</w:t>
      </w:r>
    </w:p>
    <w:p>
      <w:r>
        <w:rPr>
          <w:b/>
        </w:rPr>
        <w:t>E. 6</w:t>
      </w:r>
    </w:p>
    <w:p>
      <w:r>
        <w:t>Les parties ont signé à l’audience d’appel du 5 septembre 2011 un convention partielle, ratifiée sur le siège par le juge de céans pour valoir arrêt sur appel de mesures protectrices de l’union conjugale prévoyant notamment une modification des heures auxquelles le droit de visite de l’appelant les week-end débuterait et prendrait fin, ces heures étant fixées à 19 h 00 le vendredi et à 19 h 30 le dimanche. Il y a dès lors lieu de modifier le chiffre IV du prononcé attaqué dans cette mesure.</w:t>
      </w:r>
    </w:p>
    <w:p>
      <w:r>
        <w:rPr>
          <w:b/>
        </w:rPr>
        <w:t>E. 7</w:t>
      </w:r>
    </w:p>
    <w:p>
      <w:r>
        <w:t>En conclusion, l’appel doit être rejeté et le prononcé confirmé, excepté en ce qui concerne le chiffre IV de son dispositif, modifié en ce sens que l’appelant pourra avoir son enfant auprès de lui un week-end sur deux du vendredi à 19 h 00 au dimanche à 19 h 30.</w:t>
      </w:r>
    </w:p>
    <w:p>
      <w:r>
        <w:t>- 17 - Vu le rejet de l’appel, les frais judiciaires de deuxième instance, arrêtés à 1'200 fr. (art. 65 al. 4 TFJC [tarif du 28 septembre 2010 des frais judiciaires civils ; RSV 270.11.5), doivent être mis à la charge de l’appelant, qui versera en outre à l’intimée des dépens de deuxième instance, fixés à 2'500 fr. (art. 106 al. 1 CPC).</w:t>
      </w:r>
    </w:p>
    <w:p>
      <w:r>
        <w:rPr>
          <w:b/>
        </w:rPr>
        <w:t>E. 8</w:t>
      </w:r>
    </w:p>
    <w:p>
      <w:r>
        <w:t>Le conseil d’office de l’intimée a déposé une liste de ses opérations dont il ressort qu’il a consacré 9 heures au dossier et supporté des débours par 15 fr. 10. Cette durée, à laquelle il convient d’ajouter 1 heure d’audience, et ces débours apparaissent adéquat. Au tarif horaire de 180 fr. (art. 2 al. 1 let. a RAJ [règlement du 7 décembre 2010 sur l’assistance judiciaire en matière civile ; RSV 211.02.3]), l’indemnité s’élève à 1'800 fr., montant auquel il convient d’ajouter les frais de vacation, par 120 fr., la TVA à 8 % sur ces montants, par 153 fr. 60, les débours par 15 fr. 10, ainsi que la TVA à 8 % sur ceux-ci, par 1 fr. 85. L’indemnité globale s’élève en conséquence à 2'090 fr. 55. Par ces motifs, le juge délégué de la Cour d’appel civile du Tribunal cantonal, statuant à huis clos, prononce : I. L’appel est rejeté. II. Le prononcé est confirmé, excepté en ce qui concerne le chiffre IV de son dispositif, dont la teneur est désormais la suivante, compte tenu de la convention des parties, ratifiée pour valoir arrêt sur appel de mesures protectrices de l’union conjugale : IV. Dit qu’à défaut d’entente, A.X.________ pourra avoir son enfant auprès de lui un week-end sur deux du vendredi à</w:t>
      </w:r>
    </w:p>
    <w:p>
      <w:r>
        <w:t>- 18 - 19 h 00 au dimanche à 19 h 30, ainsi que durant la moitié des vacances scolaires et des jours fériés en alternance ; III. Les frais judiciaires de deuxième instance, arrêtés à 1'200 fr. (mille deux cents francs) sont mis à la charge de l’appelant A.X.________. IV. L’indemnité d’office de Me Nicolas Mattenberger, conseil de l’intimée, est arrêtée à 2'090 fr. 55 (deux mille nonante francs et cinquante-cinq centimes), TVA et débours compris. V. La bénéficiaire de l’assistance judiciaire est, dans la mesure de l’art. 123 CPC, tenue au remboursement des frais judiciaires et de l’indemnité au conseil d’office mis à la charge de l’Etat. VI. L’appelant A.X.________ doit verser à l’intimée B.X.________ la somme de 2'500 fr. (deux mille cinq cents francs) à titre de dépens de deuxième instance. VII. L’arrêt est exécutoire. Le juge délégué : Le greffier : Du L'arrêt qui précède, dont la rédaction a été approuvée à huis clos, est notifié à : - Me Patricia Michellod (pour A.X.________), - Me Nicolas Mattenberger (pour B.X.________). Le juge délégué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