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JS13.052572 vom 9. Oktober 2014</w:t>
      </w:r>
    </w:p>
    <w:p>
      <w:r>
        <w:t>VD Tribunal cantonal, 2014-10-09, FR</w:t>
      </w:r>
    </w:p>
    <w:p>
      <w:r>
        <w:rPr>
          <w:b/>
        </w:rPr>
        <w:t xml:space="preserve">Quelle: </w:t>
      </w:r>
      <w:r>
        <w:t>https://mcp.opencaselaw.ch/entscheid/vd_gerichte_JS13.052572</w:t>
      </w:r>
    </w:p>
    <w:p>
      <w:r>
        <w:t>FR: VD_GERICHTE JS13.052572 du 9 octobre 2014</w:t>
      </w:r>
    </w:p>
    <w:p>
      <w:r>
        <w:t>IT: VD_GERICHTE JS13.052572 del 9 ottobre 2014</w:t>
      </w:r>
    </w:p>
    <w:p>
      <w:pPr>
        <w:pStyle w:val="Heading2"/>
      </w:pPr>
      <w:r>
        <w:t>Erwägungen</w:t>
      </w:r>
    </w:p>
    <w:p>
      <w:r>
        <w:rPr>
          <w:b/>
        </w:rPr>
        <w:t>E. 1</w:t>
      </w:r>
    </w:p>
    <w:p>
      <w:r>
        <w:t>Par acte du 25 juillet 2014, P.________, appelant, a fait appel de l’ordonnance précitée. Le 8 septembre 2014, V.________, intimée, a déposé une réponse. Lors de l'audience d'appel du 9 octobre 2014, les parties ont signé une convention, consignée au procès-verbal et ratifiée séance tenante par le Juge délégué pour valoir arrêt sur appel de mesures protectrices de l'union conjugale, dont la teneur est la suivante: « I. La convention de mesures protectrices de l’union conjugale conclue le 1er mai 2014 par les parties est complétée, respectivement modifiée, comme suit : a. La garde d’ [...] est confiée à sa mère à condition qu’elle fasse contrôler son alcoolémie en transmettant, chaque mois, aux avocats des parties un document émanant d’un médecin attestant de sa sobriété. b. Aussi longtemps que V.________ n’aura pas retrouvé de travail, [...] sera auprès de son père trois week-ends par mois, étant précisé que V.________ aura son enfant auprès d’elle le premier week-end du mois. P.________ exercera son droit de visite les trois week-ends suivants. II. Sitôt que V.________ exercera à nouveau une activité professionnelle, les modalités prévues dans la convention du 1er mai 2014 sous chiffre IV reprendront effet, étant précisé que le droit de visite du samedi matin (soit celui intervenant durant les week-ends où [...] est auprès de sa mère) interviendra de 09h00 à 14h00. III. P.________ contribuera à l’entretien des siens par le régulier versement d’un montant de 6'500 fr. (six mille cinq cents francs) par mois, allocations familiales non comprises et dues en sus, payable d’avance le premier de chaque mois, en mains de V.________, dès et y compris le 1er février 2014. Pour les mois d’avril, mai et juin 2014, ledit montant est réduit à 5'000 fr. (cinq mille francs).</w:t>
      </w:r>
    </w:p>
    <w:p>
      <w:r>
        <w:t>- 3 - IV. L’arriéré accumulé entre le 1er février 2014 et le 31 octobre 2014 à titre de contributions d’entretien, en fonction des quotités fixées sous chiffre III ci dessus, s’élève à 50'466 fr. (cinquante mille quatre cent soixante-six francs). Cette somme sera versée par P.________ à V.________ le 15 octobre 2014 au plus tard. V. Chaque partie garde ses frais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800 fr. (art. 65 al. 4 TFJC) et mis à la charge de l'appelant, en application du chiffre V de la convention. Il n'y a pas lieu à l'allocation de dépens de deuxième instance.</w:t>
      </w:r>
    </w:p>
    <w:p>
      <w:r>
        <w:t>- 4 - Par ces motifs, le Juge délégué de la Cour d'appel civile du Tribunal cantonal, statuant à huis clos, prononce : I. Les frais judiciaires de deuxième instance, arrêtés à 800 fr. (huit cents francs) sont mis à la charge de l’appelant P.________. II. Il n'est pas alloué de dépens de deuxième instance. III. La cause est rayée du rôle. IV. L'arrêt est exécutoire. Le juge délégué : La greffière : Du L'arrêt qui précède, dont la rédaction a été approuvée à huis clos, est notifié à : - Me Anne-Marie Germanier Jaquinet (pour P.________), - Me Pascal Rytz (pour V.________). Le juge délégué de la Cour d'appel civile considère que la valeur litigieuse est supérieure à 30'000 francs. Le présent arrêt peut faire l'objet d'un recours en matière civile devant le Tribunal fédéral au sens des art. 72 ss LTF (loi du 17 juin</w:t>
      </w:r>
    </w:p>
    <w:p>
      <w:r>
        <w:t>- 5 - 2005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