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JS13.041683 vom 7. Januar 2015</w:t>
      </w:r>
    </w:p>
    <w:p>
      <w:r>
        <w:t>VD Tribunal cantonal, 2015-01-07, FR</w:t>
      </w:r>
    </w:p>
    <w:p>
      <w:r>
        <w:rPr>
          <w:b/>
        </w:rPr>
        <w:t xml:space="preserve">Quelle: </w:t>
      </w:r>
      <w:r>
        <w:t>https://mcp.opencaselaw.ch/entscheid/vd_gerichte_JS13.041683</w:t>
      </w:r>
    </w:p>
    <w:p>
      <w:r>
        <w:t>FR: VD_GERICHTE JS13.041683 du 7 janvier 2015</w:t>
      </w:r>
    </w:p>
    <w:p>
      <w:r>
        <w:t>IT: VD_GERICHTE JS13.041683 del 7 gennaio 2015</w:t>
      </w:r>
    </w:p>
    <w:p>
      <w:pPr>
        <w:pStyle w:val="Heading2"/>
      </w:pPr>
      <w:r>
        <w:t>Erwägungen</w:t>
      </w:r>
    </w:p>
    <w:p>
      <w:r>
        <w:rPr>
          <w:b/>
        </w:rPr>
        <w:t>E. 4.1</w:t>
      </w:r>
    </w:p>
    <w:p>
      <w:r>
        <w:t>L’appelant ne conteste pas l’application de la méthode du minimum vital. Il fait en revanche valoir que la contribution d’entretien, telle que fixée par le premier juge en faveur de son épouse, ne lui permet plus de couvrir son propre minimum vital.</w:t>
      </w:r>
    </w:p>
    <w:p>
      <w:r>
        <w:rPr>
          <w:b/>
        </w:rPr>
        <w:t>E. 4.2</w:t>
      </w:r>
    </w:p>
    <w:p>
      <w:r>
        <w:t>La limite, selon laquelle le débiteur doit encore disposer d’un revenu lui permettant de couvrir son minimum vital, constitue la règle pour toutes les contributions d’entretien découlant du droit de la famille que le juge doit fixer, en cas de suspension de la vie commune, en vertu de l’art. 176 al. 1 ch. 1 CC (Code civil suisse du 10 décembre 1907, RS 210) (TF 5A_766/2010 du 30 mai 2011 ; ATF 127 III 68, JT 2001 I 562).</w:t>
      </w:r>
    </w:p>
    <w:p>
      <w:r>
        <w:rPr>
          <w:b/>
        </w:rPr>
        <w:t>E. 4.3</w:t>
      </w:r>
    </w:p>
    <w:p>
      <w:r>
        <w:t>En l’espèce, l’appelant perçoit des revenus de 2'284 fr. par mois. Il assume des charges mensuelles incompressibles de 2'844 fr. 70 (1'200 fr. de base de minimum vital + 1'200 fr. de loyer + 444 fr. 70 de frais d’assurance-maladie), lesquelles ne comprennent pas les impôts,</w:t>
      </w:r>
    </w:p>
    <w:p>
      <w:r>
        <w:t>- 10 - étant donné la situation financière très serrée des parties (ATF 140 III 337 c. 4.4). En ce qui concerne l’intimée, elle perçoit des revenus de 2'100 fr. par mois et assume des charges mensuelles incompressibles de 2'687 fr. 45 (1'200 fr. de base de minimum vital + 1'032 fr. de loyer + 455 fr. 45 d’assurance-maladie). Il s’avère que la rente de vieillesse de l’appelant ne lui permet pas de couvrir son minimum vital, puisqu’il subit un manco mensuel de 560 fr. 70 (2'284 fr. – 2'844 fr.). L’on ne saurait dès lors le contraindre à verser une contribution d’entretien à son épouse. En revanche, si l’appelant devait percevoir un capital LPP ou une rente mensuelle LPP, la situation devrait être revue. Au surplus, si l’intimée devait bénéficier d’une contribution d’entretien, le montant de celle-ci serait pris en compte dans le calcul de la rente-pont, de sorte que sa situation ne serait pas nécessairement plus favorable (art. 18 LPCFam et art. 11 al. 1 let. h LPC [loi fédérale sur les prestations complémentaires à l’AVS et à l’AI du 6 octobre 2006, RS 831.30]).</w:t>
      </w:r>
    </w:p>
    <w:p>
      <w:r>
        <w:rPr>
          <w:b/>
        </w:rPr>
        <w:t>E. 5</w:t>
      </w:r>
    </w:p>
    <w:p>
      <w:r>
        <w:t>Au vu de ce qui précède, l’appel doit être admis et le prononcé de mesures protectrices de l’union conjugale réformé aux chiffres I et II de son dispositif en ce sens que l’appelant est libéré de verser une contribution d’entretien en faveur de son épouse dès le 1er janvier 2014, le chiffre II étant supprimé.</w:t>
      </w:r>
    </w:p>
    <w:p>
      <w:r>
        <w:rPr>
          <w:b/>
        </w:rPr>
        <w:t>E. 6</w:t>
      </w:r>
    </w:p>
    <w:p>
      <w:r>
        <w:t>Vu l’issue du litige, les frais judiciaires de deuxième instance, arrêtés à 600 fr. (art. 65 al. 2 TFJC [tarif des frais judiciaires civils du 28 septembre 2010, RSV 270.11.5]), sont mis à la charge de l’intimée. Cette dernière n’ayant pas requis l’assistance judiciaire ni la désignation d’office de son conseil en procédure d’appel, aucune indemnité d’office n’est allouée à celui-ci. Il n’y a pas lieu d’allouer de dépens (art. 95 al. 3 let. c CPC).</w:t>
      </w:r>
    </w:p>
    <w:p>
      <w:r>
        <w:t>- 11 - Par ces motifs, la Juge déléguée de la Cour d’appel civile du Tribunal cantonal, statuant à huis clos, prononce : I. L’appel est admis et le prononcé de mesures protectrices de l’union conjugale rendu le 23 octobre 2014 est réformé comme il suit : « I. dit que B.K.________ est libéré de toute contribution à l’entretien d’E.K.________ dès le 1er janvier 2014. II. Supprimé. » Le prononcé est maintenu pour le surplus. II. Les frais judiciaires de deuxième instance, arrêtés à 600 fr. (six cents francs), sont mis à la charge de l’intimée. III. L’arrêt est exécutoire. La juge déléguée : La greffière : Du L'arrêt qui précède, dont la rédaction a été approuvée à huis clos, est notifié à : - M. B.K.________, - Me Véronique Fontana (pour l’intimée).</w:t>
      </w:r>
    </w:p>
    <w:p>
      <w:r>
        <w:t>- 12 -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