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JS13.038446 vom 14. März 2014</w:t>
      </w:r>
    </w:p>
    <w:p>
      <w:r>
        <w:t>VD Tribunal cantonal, 2014-03-14, FR</w:t>
      </w:r>
    </w:p>
    <w:p>
      <w:r>
        <w:rPr>
          <w:b/>
        </w:rPr>
        <w:t xml:space="preserve">Quelle: </w:t>
      </w:r>
      <w:r>
        <w:t>https://mcp.opencaselaw.ch/entscheid/vd_gerichte_JS13.038446</w:t>
      </w:r>
    </w:p>
    <w:p>
      <w:r>
        <w:t>FR: VD_GERICHTE JS13.038446 du 14 mars 2014</w:t>
      </w:r>
    </w:p>
    <w:p>
      <w:r>
        <w:t>IT: VD_GERICHTE JS13.038446 del 14 marzo 2014</w:t>
      </w:r>
    </w:p>
    <w:p>
      <w:pPr>
        <w:pStyle w:val="Heading2"/>
      </w:pPr>
      <w:r>
        <w:t>Erwägungen</w:t>
      </w:r>
    </w:p>
    <w:p>
      <w:r>
        <w:rPr>
          <w:b/>
        </w:rPr>
        <w:t>E. 43</w:t>
      </w:r>
    </w:p>
    <w:p>
      <w:r>
        <w:t>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pp. 1201 s. ; JT 2011 III 43). En l’espèce, le litige porte sur la contribution d’entretien versée par l'appelant en faveur de l’intimée qui prend en charge les frais d'entretien de l’enfant [...], de sorte que les pièces produites en deuxième instance sont recevables. Elles ont ainsi été prises en compte dans la mesure de leur pertinence pour l’examen de la cause. 3. a) L’appelant invoque en premier lieu la violation de son droit d’être entendu, plus particulièrement son droit à l’administration des preuves. Il fait valoir que tant les pièces produites que les mesures d’instruction sollicitées auraient permis de démontrer que son propre revenu et le loyer de l’intimée tels que retenus par le premier juge ne correspondent pas à la réalité. b) L'art. 152 al. 1 CPC prévoit que toute partie a droit à ce que le tribunal administre les moyens de preuve adéquats proposés régulièrement et en temps utile. Conformément à l’art. 316 al. 3 CPC, l'instance d'appel peut également administrer les preuves ; elle peut ainsi ordonner que des preuves administrées en première instance le soient à nouveau devant elle, faire administrer des preuves écartées par le tribunal de première instance ou encore décider l'administration de toutes autres</w:t>
      </w:r>
    </w:p>
    <w:p>
      <w:r>
        <w:t>- 11 - preuves. Néanmoins, cette dernière disposition ne confère pas à l'appelant un droit à la réouverture de la procédure probatoire et à l'administration des preuves. L'instance d'appel peut en effet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4.3.1; ATF 131 III 222 c. 4.3; ATF 129 III 18 c.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 4.3.2 et les références citées). Il n'en va pas différemment lorsque le procès est soumis à la maxime inquisitoire (art. 55 al. 2, 272 et 296 al. 1 CPC ; ATF 138 III 374 c. 4.3.2).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 supplémentaires ne le feront pas changer d’opinion (TF 4A_505/2012 du 6 décembre 2012 c. 4 ; cf. aussi TF 5A_911/2012 du 14 février 2013 c. 6).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w:t>
      </w:r>
    </w:p>
    <w:p>
      <w:r>
        <w:t>- 12 - 3.2; TF 5A_720/2009 du 18 janvier 2010 c. 5.3), ce qui exclut de manière générale les mesures d'instruction coûteuses (TF 5A_610/2012 du 20 mars 2013 c. 1.3). Si l’instance d’appel doit procéder à l’administration d’une preuve nouvelle ou instruire à raison de faits nouveaux, son pouvoir sera toutefois limité par les restrictions de l’art. 317 CPC (Jeandin, op. cit., n. 9 ad art. 316 CPC). c) En l’espèce, il était loisible au premier juge, qui au surplus statuait selon le critère de la vraisemblance, de ne pas procéder aux mesures d’instruction soi-disant sollicitées. Il résulte en effet du procès- verbal de l’audience que le premier juge a imparti un délai au 13 décembre 2013 aux parties pour produire des pièces complémentaires. Une fois ces documents versés au dossier, le premier juge a statué sans opposition des plaideurs à la clôture de la procédure probatoire, fait qui justifie à lui seul de renoncer à l’administration de la preuve requise. On relèvera en outre que pour déterminer les revenus de l’appelant, le premier juge s’est fondé sur plusieurs pièces et pour déterminer le montant du loyer de l’intimée, il s’est fondé sur un justificatif de paiement et les explications de l’intimée. Il n’y a donc eu aucune violation du droit d’être entendu de l’appelant. 4. a) L’appelant soutient ensuite que la décision attaquée contient une constatation inexacte au sujet de son revenu. Il ne serait pas de 4’700 fr. par mois en 2013, mais de 3’600 francs. b) Pour motiver sa décision, le premier juge s’est fondé sur plusieurs documents probants : pour le salaire versé par [...], sur le montant total tel qu’il figure sur le décompte au 12 septembre 2013, ce qui donne bien un montant brut mensuel de 4’190 fr. comme retenu. D’ailleurs, selon le décompte au 31 décembre 2013, produit en appel, le montant mensuel brut est même supérieur et s’élève à 4’369 francs (43'698 fr. 15 : 10 mois). S’agissant des revenus résultant de l’activité</w:t>
      </w:r>
    </w:p>
    <w:p>
      <w:r>
        <w:t>- 13 - sportive de l’appelant, le premier juge s’est fié exactement au contenu du document produit par le FC [...], qui fait état d’un salaire de 1’000 fr. par mois du début du championnat jusqu’au 31 août 2013, puis de primes de match, estimées à juste titre à 1'000 fr. par le premier juge. C’est donc sur la base de constatations pertinentes que le premier juge a retenu un salaire total de 4’700 fr. par mois. Quant à la suppression alléguée des indemnités de chômage, elle n’a aucune incidence sur les faits retenus en première instance, dès lors que le premier juge n’a pas pris ces indemnités en compte, puisqu’elles faisaient l’objet d’une saisie de l’office des poursuites. Pour le reste, l’appelant ne fournit aucune indication sur ses activités professionnelles actuelles, de sorte qu’il faut retenir, comme l’a également retenu le premier juge, qu’il poursuit ses missions temporaires en 2014. Il n’y a donc aucun fait inexact concernant le revenu de l’appelant. 5. a) Enfin, l’appelant fait valoir que la décision attaquée contient une constatation inexacte concernant son propre loyer et celui de l’intimée qui s’élèveraient, selon lui, respectivement à 1’000 fr. charges non comprises, et à 800 fr., son épouse lui ayant confié qu’elle versait en réalité ce montant à son père. b) La version soutenue par l’appelant ne repose que sur ses seules allégations et est dès lors dépourvue de toute valeur probante. La pièce produite en première instance fait état d’un loyer mensuel de 1’000 fr. et sous la rubrique charges figure le montant de zéro franc. Concernant la prise en compte du loyer de l’intimée, la motivation du premier juge est exempte de reproche, car elle repose sur le bail produit, un justificatif de paiement et les déclarations de l’intimée. A cet égard, l’audition du père de l’intimée, sollicitée à teneur du dossier en deuxième instance seulement, est inutile compte tenu des éléments déjà en possession du premier juge. On rappellera en effet que dans le cadre de mesure protectrices, le juge statue sur la base de la simple vraisemblance après une administration limitée des preuves.</w:t>
      </w:r>
    </w:p>
    <w:p>
      <w:r>
        <w:t>- 14 - 6. Pour tous ces motifs, il n’est pas nécessaire de procéder aux mesures d’instruction requises et l’appel doit être rejeté. Il en va de même de la demande d’assistance judiciaire, l’appel étant dépourvu de chances de succès (art. 117 let, b CPC). L’arrêt peut être rendu sans frais (art. 112 al. 1 CPC), aucune avance n’ayant été versée. Par ces motifs, le juge délégué de la Cour d’appel civile du Tribunal cantonal, statuant à huis clos, en application de l'art. 312 al. 1 CPC, prononce : I. L’appel est rejeté. II. L’ordonnance est confirmée. III. La requête d’assistance judiciaire est rejetée. IV. L’arrêt motivé, rendu sans frais, est exécutoire. Le juge délégué : La greffière :</w:t>
      </w:r>
    </w:p>
    <w:p>
      <w:r>
        <w:t>- 15 - Du L'arrêt qui précède, dont la rédaction a été approuvée à huis clos, est notifié en expédition complète, par l'envoi de photocopies, à : - Me Olivier Couchepin (pour W.________), - Me Adrian Schneider (pour P.________). Le juge délégué de la Cour d’appel civile considère que la valeur litigieuse est de plus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