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JS13.029576 vom 9. Januar 2014</w:t>
      </w:r>
    </w:p>
    <w:p>
      <w:r>
        <w:t>VD Tribunal cantonal, 2014-01-09, FR</w:t>
      </w:r>
    </w:p>
    <w:p>
      <w:r>
        <w:rPr>
          <w:b/>
        </w:rPr>
        <w:t xml:space="preserve">Quelle: </w:t>
      </w:r>
      <w:r>
        <w:t>https://mcp.opencaselaw.ch/entscheid/vd_gerichte_JS13.029576</w:t>
      </w:r>
    </w:p>
    <w:p>
      <w:r>
        <w:t>FR: VD_GERICHTE JS13.029576 du 9 janvier 2014</w:t>
      </w:r>
    </w:p>
    <w:p>
      <w:r>
        <w:t>IT: VD_GERICHTE JS13.029576 del 9 gennaio 2014</w:t>
      </w:r>
    </w:p>
    <w:p>
      <w:pPr>
        <w:pStyle w:val="Heading2"/>
      </w:pPr>
      <w:r>
        <w:t>Erwägungen</w:t>
      </w:r>
    </w:p>
    <w:p>
      <w:r>
        <w:rPr>
          <w:b/>
        </w:rPr>
        <w:t>E. 3</w:t>
      </w:r>
    </w:p>
    <w:p>
      <w:r>
        <w:t>L'appelant ne conteste plus dans son principe le droit de sa fille à lui réclamer une contribution d’entretien selon l’art. 277 al. 2 CC (Code civil suisse du 10 décembre 1907, RS 210), mais soutient que le premier juge, en le condamnant à verser à l'intimée une contribution de 3’900 fr. par mois, n’aurait pas tenu compte dans une juste mesure des moyens à disposition de chacun des parents et des besoins de leur fille. Il conteste la détermination de ses revenus, des revenus et des charges de la mère et des besoins de l'intimée. Il soutient également qu'il faudrait tenir compte d'un revenu hypothétique de cette dernière. Il fait ainsi valoir qu'aussi longtemps qu'il verse à son épouse une contribution d'entretien de 12'000 fr. par mois, celle-ci disposerait des moyens de financer le projet "américain" de leur fille. a) Les père et mère doivent pourvoir à l'entretien de l'enfant et assumer notamment les frais de sa formation (art. 276 al. 1 CC); l'entretien est assuré par les soins et l'éducation ou, lorsque l'enfant n'est pas sous la garde de ses père et mère, par des prestations pécuniaires (art. 276 al. 2 CC). Si, à sa majorité,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Ils sont déliés de leur obligation dans la mesure où l'on peut attendre de l'enfant qu'il subvienne à son entretien par le produit de son travail ou par ses autres ressources (art. 276 al. 3 CC ; TF 5A_685/2008 du 18 décembre 2008 c. 3.1). Conformément à l’art. 285 al. 1 CC, la contribution d'entretien doit correspondre aux besoins de l'enfant ainsi qu'à la situation et aux ressources des père et mère, compte tenu de la fortune et des revenus de l'enfant (ATF 116 II 110 c. 3a p. 112). Une contribution après la majorité ne peut être mise à charge des parents que s'ils sont capables de l'assumer,</w:t>
      </w:r>
    </w:p>
    <w:p>
      <w:r>
        <w:t>- 12 - sachant qu'ils n'ont pas, comme durant la minorité de leur enfant, à partager tous leurs moyens avec lui, mais seulement ce qui reste une fois qu'ils ont subvenu à leur propre entretien (Hegnauer, Berner Kommentar, 1997, n. 102 ad art. 277 CC). Ainsi, l'obligation de subvenir à l'entretien de l'enfant qui n'a pas achevé sa formation à sa majorité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 2a; TF 5A_685/2008 du 18 décembre 2008 c. 3.2 ; TF 5C.205/2004 du 8 novembre 2004 c. 6.1, in: FamPra.ch. 2005 p. 414; Meier/Stettler, Droit de la filiation, 4e éd., Zurich 2009, n. 1090 p. 627). Si la demande n'est dirigée qu'à l'encontre de l'un des parents, il faut veiller à ce que les facultés du débiteur soient mises à contribution de façon équilibrée par rapport à celles de l'autre parent (ATF 107 II 406 c. 2c p. 410 in fine; Hegnauer, op. cit., n. 108 ad art. 277 CC; Hegnauer/Meier, Droit suisse de la filiation et de la famille, 4e éd., p. 139 n. 21.15). Si les parents sont séparés ou divorcés, la contribution due entre les parents doit être prise en considération dans les charges du débirentier (TF 5A_57/2007 du 16 août 2007 c. 8.1 et les arrêts cités). Suivant les circonstances, il est possible d’exiger du parent avec lequel vit l’enfant qu’il contribue à l’entretien de celui-ci, en sus des soins et de l’éducation, par des prestations en argent (TF 5A_685/2008 du 18 décembre 2008 ; ATF 120 II 285 c. 3a/cc). Par ailleurs, l'enfant majeur peut être tenu, indépendamment de la capacité contributive de ses parents, de subvenir à ses besoins en travaillant – fût-ce partiellement – pendant sa période de formation; le cas échéant, il peut se voir imputer un revenu hypothétique (TF 5A_685/2008 du 18 décembre 2008 c. 3.2.1 ; TF 5C.150/2005 du 11 octobre 2005 c. 4.4.1, in: FamPra.ch 2006 p. 480). S'agissant de l'entretien d'un enfant majeur n'ayant pas encore achevé sa formation, le parent ne peut en principe y être astreint que lorsque cette contribution n'entame pas son minimum vital élargi augmenté de 20% (ATF 127 I 202 c. 3e p. 207; ATF 118 II 97 c. 4b/aa p. 99</w:t>
      </w:r>
    </w:p>
    <w:p>
      <w:r>
        <w:t>- 13 - ss). La capacité contributive doit être appréciée en fonction des charges effectives du débirentier, étant précisé que seuls les montants réellement acquittés – exempts de toute majoration – peuvent être pris en considération (ATF 121 III 20 c. 3a p. 22). La majoration de 20% ne s'applique qu'à la seule base mensuelle et non aux autres postes du minimum vital (TF 5A_785/2010 du 30 juin 2011 c. 4.1 ; TF 5A_476/2010 du 7 septembre 2010 c. 2.2.3; TF 5C.107/2005 du 13 avril 2006 c. 4.2.1). b) Conformément à l'art. 289 al. 1 CC, les contributions d’entretien sont dues à l’enfant bien qu’elles soient versées, durant sa minorité, à son représentant légal ou au parent qui en assume la garde. Cela signifie a contrario que celles qui sont éventuellement dues après la majorité de l’enfant, en application des art. 277 al. 2 et 133 al. 1 CC, doivent lui être versées directement. Le détenteur de la garde durant la minorité de l'enfant dispose encore de la faculté d’encaisser valablement les prestations versées pour l’enfant, après la majorité de celui-ci, pour autant toutefois que ce dernier approuve, même tacitement, ce mandat (Perrin, in Commentaire romand du code civil I, Bâle 2010, n. 4 ss ad. art. 289 CC, p. 1793). En l’espèce, l'intimée considère que son entretien courant est déjà assuré par la contribution d’entretien de 12'000 fr. par mois que l'appelant verse en mains de sa mère pour l'entretien de celle-ci et de ses deux enfants. Elle sollicite le paiement en ses propres mains d’une contribution d’entretien qui est en quelque sorte complémentaire. Il s’ensuit qu'elle approuve manifestement que sa mère continue de percevoir valablement les prestations versées par l'appelant en vue de couvrir son entretien courant. Cela étant, il convient d’examiner si et dans quelle mesure l’appelant peut être astreint à verser à sa fille une contribution d’entretien « complémentaire » en vue de couvrir les frais supplémentaires provoqués par ses études à l’[...]. c) aa) Revenus de B.M.________ L’appelant conteste, à juste titre, la constatation du premier juge selon laquelle les revenus des immeubles situés à l’étranger, par</w:t>
      </w:r>
    </w:p>
    <w:p>
      <w:r>
        <w:t>- 14 - 17'535 fr., ne figurent pas dans la déclaration d’impôts suisse. En effet, il résulte de la déclaration d’impôts 2012 et de ses annexes (p. 103) que les loyers perçus pour les immeubles situés à l’étranger ont bien été reportés sous code 500 de la déclaration d’impôts. Le revenu des immeubles privés en Suisse et à l'étranger s'élève ainsi à 756'651 francs. C’est en revanche à tort que l’appelant aimerait déduire de ses revenus immobiliers l’amortissement des dettes hypothécaires, au motif qu’"il ne s’agit pas tellement de déterminer si les amortissements entrent dans son minimum vital élargi, mais bien de rechercher quel est son revenu net". En effet, selon la jurisprudence, l'amortissement de la dette hypothécaire n'a pas à être pris en considération dans ce contexte, dès lors qu’il ne sert pas à l'entretien, mais à la constitution du patrimoine (ATF 127 III 289 c. 2a/bb p. 292 et les références mentionnées; TF 5A_87/2007 du 2 août 2007 c. 3.2.2). Le fait que l'appelant tire l'intégralité de ses revenus de son patrimoine immobilier ne change pas cette appréciation. C'est également à tort que l'appelant reproche au premier juge de n'avoir pas déduit des revenus des immeubles l'intégralité des frais d'entretien annoncés dans la déclaration fiscale 2012, par 229'164 fr., mais un montant forfaitaire de 151'330 fr., correspondant au cinquième de la valeur locative. En effet, selon la jurisprudence, il est arbitraire de porter en déduction des frais d'entretien comprenant des frais extraordinaires de rénovation ou de plus-value, la taxation fiscale qui admet de tels frais ayant certes valeur d'indice mais n'étant pas déterminante (TF 5A_318/2009 du 19 octobre 2009 c. 3.3). Ainsi, le juge ne saurait déduire des revenus immobiliers l'intégralité des frais d'entretien allégués, d’autant moins lorsqu’ils figurent non pas dans la décision de taxation du débiteur d’entretien mais dans sa déclaration fiscale à titre de "frais d'entretien d'immeubles privés et investissements destinés à économiser l'énergie et à ménager l'environnement", sans examen plus précis quant à la nature desdits investissements (TF 5A_651/2011 du 26 avril 2012, c. 7.3 non publié à l’ATF 138 III 374). En l’espèce, l’ordonnance entreprise ne prête donc pas le flanc à la critique en tant qu’elle plafonne les frais</w:t>
      </w:r>
    </w:p>
    <w:p>
      <w:r>
        <w:t>- 15 - d’entretien pris en compte au forfait correspondant à un cinquième de la valeur locative. On peut d'ailleurs relever que l'appelant a choisi lui-même de déclarer au fisc ce forfait pour certains biens immobiliers, sans avoir à justifier de quelconques frais d’entretien effectifs. Il s'ensuit que les revenus de l'appelant, avant le paiement de la contribution d'entretien de 12'000 fr. à B.________, s'élèvent à 421'649 fr., soit à un montant arrondi de 35'000 fr. par mois. bb) Charges de B.M.________ Le premier juge a retenu des charges qui totalisent 27'188 fr. 35, dont 10'244 fr. d’impôts. L’intimée soutient que ceux-ci sont vraisemblablement moins élevés. Sur la base des revenus (199'800 fr.) et de la fortune (5'232'000 fr.) indiqués dans la déclaration d’impôts 2012 de l’appelant, les impôts devraient effectivement être de l’ordre de 85'000 fr. par année. S'ajoute à ce montant 5'300 euros d'impôts français, soit environ 6'500 francs. La charge fiscale de l'appelant peut en réalité être estimée à environ 8'000 fr. par mois. Compte tenu de charges – y compris la contribution d'entretien de 12'000 fr. par mois versée à B.________ – totalisant près de 25'000 fr. par mois, l’appelant a ainsi un disponible de quelque 10'000 fr. par mois. cc) Revenus de B.________ Dans son arrêt du 12 mars 2012, le Juge délégué de la Cour d’appel civile avait retenu que le revenu de B.________ s’élevait de son propre aveu à environ 6'000 fr. par mois. Dans l'ordonnance querellée, le premier juge a considéré, sur la base des comptes établis par la fiduciaire pour l'exercice 2011, que l'intéressée réalisait désormais un salaire mensuel net moyen de 5'000 francs. L’appelant fait valoir que la seule production des comptes 2011, sans pièces justificatives et sans validation par le fisc, n'est pas suffisante pour se convaincre d’une réelle baisse des revenus d’indépendante de B.________. Il n'y a toutefois pas lieu de mettre</w:t>
      </w:r>
    </w:p>
    <w:p>
      <w:r>
        <w:t>- 16 - en doute les comptes 2011, qui donneront lieu à la décision du fisc, d’autant moins que la baisse de revenus est de faible ampleur. L'appelant fait en outre valoir que B.________ perçoit directement la moitié des revenus d'un immeuble dont les époux sont copropriétaires à [...], à concurrence de 7'800 fr. par mois. Les pièces produites ne permettent toutefois pas d'admettre l'existence d'un tel revenu de l'intéressée, en sus de son revenu d’indépendante et de la contribution d’entretien de 12'000 francs. Il s'ensuit que les revenus de B.________ s'élèvent à 5'000 fr., montant auquel s'ajoute la contribution d'entretien versée par l'appelant, par 12'000 francs. dd) Charges de B.________ Le premier juge a arrêté les charges de B.________ à un montant de 17'122 francs. Il a pris en compte les charges retenues dans l’arrêt du Juge délégué de la Cour d’appel civile du 12 mars 2012, en ajoutant toutefois un montant de l'ordre de 2'000 fr. par mois à titre d'impôts et en déduisant l'écolage du [...], lequel ne concerne plus que C.M.________. L’appelant conteste la plupart des charges ainsi retenues, les estimant excessives, voire injustifiées. L'intimée, pour sa part, soutient que les charges de sa mère ressortent d’un arrêt sur appel que son père n’avait pas contesté. Il convient toutefois de relever qu'il s’agissait dans l’arrêt sur appel d’établir le train de vie des époux et non d’arrêter des charges incompressibles. Celles-ci ne comprennent pas le jardinier, la femme de ménage, les activités extrascolaires, les voyages et loisirs, le chien et les frais médicaux non établis. Les montants retenus pour la nourriture, les soins et l’habillement sont en outre compris dans les montant de base de 1'350 fr. pour la mère et 600 fr. pour chaque enfant. En tenant compte</w:t>
      </w:r>
    </w:p>
    <w:p>
      <w:r>
        <w:t>- 17 - d'un montant d'impôts de 2'000 fr. par mois, les charges de B.________ s'élèvent ainsi à près de 11'000 fr., ce qui laisse à l'intéressée un disponible de quelque 6'000 fr. par mois. ee) Besoins de l'intimée Le premier juge a considéré qu'il y avait lieu d'allouer à l'intimée une contribution mensuelle d'entretien correspondant aux frais facturés par l'[...], soit 48'850 $ équivalant à 46'181 fr., soit 3'900 fr. par mois. Ce montant ne comprend que les frais supplémentaires liés aux études aux Etats-Unis et non les dépenses personnelles, transports et repas de l'intimée, contrairement à ce que soutient l’appelant. La mère de l'intimée prend en charge l'entretien courant de sa fille sur la base notamment de la contribution d'entretien de 12'000 fr. versée par l'appelant. ff) Revenus de l'intimée L'appelant soutient que l'intimée pourrait, compte tenu de ses trois mois de vacances par année, réaliser des revenus à hauteur de 6'000 fr. par an. Toutefois, comme le fait valoir à juste titre l'intimée, elle a le droit d’utiliser une partie de ses vacances pour se reposer. En outre, il n’est pas établi qu’elle aurait le droit de travailler aux Etats-Unis. On ne peut en définitive lui imputer qu'un revenu qu'elle pourrait obtenir lors de ses séjours en Suisse, lequel ne saurait excéder un total de 3'000 fr. par année, soit 250 fr. par mois. d) En définitive, l’appelant a un disponible de quelque 10'000 fr. par mois et B.________ de près de 6'000 fr. par mois. Compte tenu des besoins supplémentaires de l’intimée que celle-ci n’est pas en mesure de couvrir par ses propres revenus, soit 3'600 fr. par mois (3'848 fr. moins</w:t>
      </w:r>
    </w:p>
    <w:p>
      <w:r>
        <w:t>- 18 - 250 fr.), il apparaît équitable, dès lors que les facultés du père doivent être mises à contribution de façon équilibrée par rapport à celles de la mère, de fixer la contribution d’entretien mensuelle due par l’appelant à l’intimée à un montant mensuel de 2'400 fr. et de renvoyer l’intimée à solliciter de sa mère la prise en charge du surplus, par 1'200 francs.</w:t>
      </w:r>
    </w:p>
    <w:p>
      <w:r>
        <w:rPr>
          <w:b/>
        </w:rPr>
        <w:t>E. 4</w:t>
      </w:r>
    </w:p>
    <w:p>
      <w:r>
        <w:t>Au vu de ce qui précède, l'appel doit être partiellement admis et l'ordonnance entreprise réformée au chiffre I de son dispositif en ce sens que l'appelant doit contribuer à l’entretien de sa fille par le régulier versement d’un montant mensuel de 2’400 fr., payable d’avance le 1er de chaque mois, dès le 1er juillet 2013, en mains de cette dernière. Vu l’issue du litige, les frais judiciaires de deuxième instance, qui doivent être arrêtés à 1’200 fr. (art. 65 al. 2 TFJC [Tarif des frais judiciaires civils du 28 septembre 2010; RSV 270.11.5]), seront mis à la charge de l’appelant à raison de deux tiers et de l’intimée à raison d’un tiers (art. 106 al. 2 CPC). L’intimée versera ainsi à l’appelant la somme de 400 fr. à titre de restitution partielle de l’avance de frais fournie par ce dernier (art. 111 al. 2 CPC). La charge des dépens est évaluée à 1'500 fr. pour chaque partie, de sorte que, compte tenu de ce que les frais – comprenant les frais judiciaires et les dépens (art. 95 al. 1 CPC) – doivent être mis à la charge de l'appelant à raison de deux tiers et de l'intimée à raison d'un tiers, l'appelant versera en définitive à l'intimée la somme de 500 fr. à titre de dépens.</w:t>
      </w:r>
    </w:p>
    <w:p>
      <w:r>
        <w:t>- 19 - Par ces motifs, le juge délégué de la Cour d’appel civile du Tribunal cantonal, statuant à huis clos, prononce : I. L’appel est partiellement admis. II. L’ordonnance est réformée comme suit au chiffre I de son dispositif : I. dit que B.M.________ doit contribuer à l’entretien de sa fille A.M.________, née le 30 mars 1994, par le régulier versement d’un montant mensuel de 2'400 fr. (deux mille quatre cents francs), payable d’avance le 1er de chaque mois, dès le 1er juillet 2013, en mains de cette dernière. III. Les frais judiciaires de deuxième instance, arrêtés à 1'200 fr. (mille deux cents francs), sont mis pour deux tiers à la charge de l’appelant B.M.________ et pour un tiers à la charge de l’intimée A.M.________. IV. L’intimée doit verser à l’appelant la somme de 400 fr. (quatre cents francs) à titre de restitution partielle d’avance de frais de deuxième instance. V. L’appelant doit verser à l’intimée la somme de 500 fr. (cinq cents francs) à titre de dépens de deuxième instance. Le juge délégué : La greffière :</w:t>
      </w:r>
    </w:p>
    <w:p>
      <w:r>
        <w:t>- 20 - Du 9 janvier 2014 Le dispositif de l'arrêt qui précède est communiqué par écrit aux intéressés. La greffière : Du L'arrêt qui précède, dont la rédaction a été approuvée à huis clos, est notifié en expédition complète, par l'envoi de photocopies à : - Mme Alain Brogli (pour B.M.________), - Me Malek Buffat Reymond (pour A.M.________).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- 21 -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